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977257">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977257">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4CA91F36" w:rsidR="00333FAA" w:rsidRPr="005E3A10" w:rsidRDefault="00977257" w:rsidP="00A53B04">
            <w:pPr>
              <w:rPr>
                <w:rFonts w:cs="Arial"/>
                <w:szCs w:val="24"/>
              </w:rPr>
            </w:pPr>
            <w:r>
              <w:rPr>
                <w:rFonts w:cs="Arial"/>
                <w:szCs w:val="24"/>
              </w:rPr>
              <w:t>17</w:t>
            </w:r>
            <w:r w:rsidRPr="00977257">
              <w:rPr>
                <w:rFonts w:cs="Arial"/>
                <w:szCs w:val="24"/>
                <w:vertAlign w:val="superscript"/>
              </w:rPr>
              <w:t>th</w:t>
            </w:r>
            <w:r>
              <w:rPr>
                <w:rFonts w:cs="Arial"/>
                <w:szCs w:val="24"/>
              </w:rPr>
              <w:t xml:space="preserve"> November</w:t>
            </w:r>
            <w:r w:rsidR="00721D48">
              <w:rPr>
                <w:rFonts w:cs="Arial"/>
                <w:szCs w:val="24"/>
              </w:rPr>
              <w:t xml:space="preserve"> 2022</w:t>
            </w:r>
          </w:p>
        </w:tc>
      </w:tr>
      <w:tr w:rsidR="00977257" w14:paraId="3CC97725" w14:textId="77777777" w:rsidTr="00977257">
        <w:tc>
          <w:tcPr>
            <w:tcW w:w="3397" w:type="dxa"/>
          </w:tcPr>
          <w:p w14:paraId="18BB8951" w14:textId="77777777" w:rsidR="00977257" w:rsidRPr="00C13A5F" w:rsidRDefault="00977257" w:rsidP="00977257">
            <w:pPr>
              <w:pStyle w:val="Infotext"/>
              <w:spacing w:after="240"/>
              <w:rPr>
                <w:rFonts w:ascii="Arial Black" w:hAnsi="Arial Black"/>
              </w:rPr>
            </w:pPr>
            <w:r w:rsidRPr="00C13A5F">
              <w:rPr>
                <w:rFonts w:ascii="Arial Black" w:hAnsi="Arial Black" w:cs="Arial"/>
              </w:rPr>
              <w:t>Subject:</w:t>
            </w:r>
          </w:p>
        </w:tc>
        <w:tc>
          <w:tcPr>
            <w:tcW w:w="4912" w:type="dxa"/>
          </w:tcPr>
          <w:p w14:paraId="397627B1" w14:textId="77777777" w:rsidR="00977257" w:rsidRDefault="00977257" w:rsidP="00977257">
            <w:pPr>
              <w:rPr>
                <w:color w:val="232323"/>
                <w:w w:val="105"/>
                <w:szCs w:val="24"/>
              </w:rPr>
            </w:pPr>
            <w:r w:rsidRPr="00C36BE9">
              <w:rPr>
                <w:color w:val="232323"/>
                <w:w w:val="105"/>
                <w:szCs w:val="24"/>
              </w:rPr>
              <w:t>New leases or lease renewals with a value over £250,000</w:t>
            </w:r>
          </w:p>
          <w:p w14:paraId="6D8FB2C1" w14:textId="5FC23B9F" w:rsidR="00721D48" w:rsidRPr="005E3A10" w:rsidRDefault="00721D48" w:rsidP="00977257">
            <w:pPr>
              <w:rPr>
                <w:rFonts w:cs="Arial"/>
                <w:szCs w:val="24"/>
              </w:rPr>
            </w:pPr>
          </w:p>
        </w:tc>
      </w:tr>
      <w:tr w:rsidR="00977257" w14:paraId="32449166" w14:textId="77777777" w:rsidTr="00977257">
        <w:tc>
          <w:tcPr>
            <w:tcW w:w="3397" w:type="dxa"/>
          </w:tcPr>
          <w:p w14:paraId="17ECA8FA" w14:textId="77777777" w:rsidR="00977257" w:rsidRPr="00C13A5F" w:rsidRDefault="00977257" w:rsidP="00977257">
            <w:pPr>
              <w:pStyle w:val="Infotext"/>
              <w:spacing w:after="240"/>
              <w:rPr>
                <w:rFonts w:ascii="Arial Black" w:hAnsi="Arial Black" w:cs="Arial"/>
              </w:rPr>
            </w:pPr>
            <w:r w:rsidRPr="00C13A5F">
              <w:rPr>
                <w:rFonts w:ascii="Arial Black" w:hAnsi="Arial Black" w:cs="Arial"/>
              </w:rPr>
              <w:t>Key Decision:</w:t>
            </w:r>
          </w:p>
        </w:tc>
        <w:tc>
          <w:tcPr>
            <w:tcW w:w="4912" w:type="dxa"/>
          </w:tcPr>
          <w:p w14:paraId="6D1B2CD3" w14:textId="34802109" w:rsidR="00977257" w:rsidRPr="005E3A10" w:rsidRDefault="00721D48" w:rsidP="00977257">
            <w:pPr>
              <w:pStyle w:val="Infotext"/>
              <w:rPr>
                <w:rFonts w:cs="Arial"/>
                <w:sz w:val="24"/>
                <w:szCs w:val="24"/>
              </w:rPr>
            </w:pPr>
            <w:r>
              <w:rPr>
                <w:rFonts w:cs="Arial"/>
                <w:sz w:val="24"/>
                <w:szCs w:val="24"/>
              </w:rPr>
              <w:t>Yes</w:t>
            </w:r>
          </w:p>
          <w:p w14:paraId="3EADF2B3" w14:textId="6CF55D2E" w:rsidR="00977257" w:rsidRPr="005E3A10" w:rsidRDefault="00977257" w:rsidP="00977257">
            <w:pPr>
              <w:pStyle w:val="Infotext"/>
              <w:rPr>
                <w:rFonts w:cs="Arial"/>
                <w:szCs w:val="24"/>
              </w:rPr>
            </w:pPr>
          </w:p>
        </w:tc>
      </w:tr>
      <w:tr w:rsidR="00977257" w14:paraId="79E96200" w14:textId="77777777" w:rsidTr="00977257">
        <w:tc>
          <w:tcPr>
            <w:tcW w:w="3397" w:type="dxa"/>
          </w:tcPr>
          <w:p w14:paraId="0B8ABDC4" w14:textId="77777777" w:rsidR="00977257" w:rsidRPr="00C13A5F" w:rsidRDefault="00977257" w:rsidP="00977257">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1799A979" w:rsidR="00977257" w:rsidRPr="005E3A10" w:rsidRDefault="00977257" w:rsidP="00977257">
            <w:pPr>
              <w:pStyle w:val="Infotext"/>
              <w:rPr>
                <w:rFonts w:cs="Arial"/>
                <w:sz w:val="24"/>
                <w:szCs w:val="24"/>
              </w:rPr>
            </w:pPr>
            <w:r>
              <w:rPr>
                <w:rFonts w:cs="Arial"/>
                <w:sz w:val="24"/>
                <w:szCs w:val="24"/>
              </w:rPr>
              <w:t>Dipti Patel</w:t>
            </w:r>
            <w:r w:rsidR="00721D48">
              <w:rPr>
                <w:rFonts w:cs="Arial"/>
                <w:sz w:val="24"/>
                <w:szCs w:val="24"/>
              </w:rPr>
              <w:t xml:space="preserve"> - </w:t>
            </w:r>
            <w:r>
              <w:rPr>
                <w:rFonts w:cs="Arial"/>
                <w:sz w:val="24"/>
                <w:szCs w:val="24"/>
              </w:rPr>
              <w:t>Corporate Director Place</w:t>
            </w:r>
          </w:p>
          <w:p w14:paraId="3798BF23" w14:textId="77777777" w:rsidR="00977257" w:rsidRPr="005E3A10" w:rsidRDefault="00977257" w:rsidP="00977257">
            <w:pPr>
              <w:pStyle w:val="Infotext"/>
              <w:rPr>
                <w:rFonts w:cs="Arial"/>
                <w:sz w:val="24"/>
                <w:szCs w:val="24"/>
              </w:rPr>
            </w:pPr>
          </w:p>
        </w:tc>
      </w:tr>
      <w:tr w:rsidR="00977257" w14:paraId="3B6FD8B1" w14:textId="77777777" w:rsidTr="00977257">
        <w:tc>
          <w:tcPr>
            <w:tcW w:w="3397" w:type="dxa"/>
          </w:tcPr>
          <w:p w14:paraId="0961945D" w14:textId="77777777" w:rsidR="00977257" w:rsidRPr="00C13A5F" w:rsidRDefault="00977257" w:rsidP="00977257">
            <w:pPr>
              <w:pStyle w:val="Infotext"/>
              <w:spacing w:after="240"/>
              <w:rPr>
                <w:rFonts w:ascii="Arial Black" w:hAnsi="Arial Black"/>
              </w:rPr>
            </w:pPr>
            <w:r w:rsidRPr="00DB6C3D">
              <w:rPr>
                <w:rFonts w:ascii="Arial Black" w:hAnsi="Arial Black"/>
              </w:rPr>
              <w:t>Portfolio Holder:</w:t>
            </w:r>
          </w:p>
        </w:tc>
        <w:tc>
          <w:tcPr>
            <w:tcW w:w="4912" w:type="dxa"/>
          </w:tcPr>
          <w:p w14:paraId="2624EEEC" w14:textId="77777777" w:rsidR="00977257" w:rsidRDefault="00721D48" w:rsidP="00977257">
            <w:pPr>
              <w:pStyle w:val="Infotext"/>
              <w:rPr>
                <w:rFonts w:cs="Arial"/>
                <w:sz w:val="24"/>
                <w:szCs w:val="24"/>
              </w:rPr>
            </w:pPr>
            <w:r>
              <w:rPr>
                <w:rFonts w:cs="Arial"/>
                <w:sz w:val="24"/>
                <w:szCs w:val="24"/>
              </w:rPr>
              <w:t xml:space="preserve">Councillor Norman Stevenson – Portfolio Holder for </w:t>
            </w:r>
            <w:r w:rsidR="00977257" w:rsidRPr="00977257">
              <w:rPr>
                <w:rFonts w:cs="Arial"/>
                <w:sz w:val="24"/>
                <w:szCs w:val="24"/>
              </w:rPr>
              <w:t>Business, Employment &amp; Property</w:t>
            </w:r>
          </w:p>
          <w:p w14:paraId="39A9A01A" w14:textId="55653166" w:rsidR="00721D48" w:rsidRPr="005E3A10" w:rsidRDefault="00721D48" w:rsidP="00977257">
            <w:pPr>
              <w:pStyle w:val="Infotext"/>
              <w:rPr>
                <w:rFonts w:cs="Arial"/>
                <w:color w:val="FF0000"/>
                <w:sz w:val="24"/>
                <w:szCs w:val="24"/>
              </w:rPr>
            </w:pPr>
          </w:p>
        </w:tc>
      </w:tr>
      <w:tr w:rsidR="00977257" w14:paraId="3CF618C8" w14:textId="77777777" w:rsidTr="00977257">
        <w:tc>
          <w:tcPr>
            <w:tcW w:w="3397" w:type="dxa"/>
          </w:tcPr>
          <w:p w14:paraId="4CD8D092" w14:textId="77777777" w:rsidR="00977257" w:rsidRPr="00C13A5F" w:rsidRDefault="00977257" w:rsidP="00977257">
            <w:pPr>
              <w:pStyle w:val="Infotext"/>
              <w:spacing w:after="240"/>
              <w:rPr>
                <w:rFonts w:ascii="Arial Black" w:hAnsi="Arial Black"/>
              </w:rPr>
            </w:pPr>
            <w:r w:rsidRPr="00DB6C3D">
              <w:rPr>
                <w:rFonts w:ascii="Arial Black" w:hAnsi="Arial Black"/>
              </w:rPr>
              <w:t>Exempt:</w:t>
            </w:r>
          </w:p>
        </w:tc>
        <w:tc>
          <w:tcPr>
            <w:tcW w:w="4912" w:type="dxa"/>
          </w:tcPr>
          <w:p w14:paraId="507D3F0A" w14:textId="2126BF08" w:rsidR="00977257" w:rsidRPr="00721D48" w:rsidRDefault="00977257" w:rsidP="00977257">
            <w:pPr>
              <w:rPr>
                <w:rFonts w:cs="Arial"/>
                <w:szCs w:val="24"/>
              </w:rPr>
            </w:pPr>
            <w:r w:rsidRPr="00721D48">
              <w:rPr>
                <w:rFonts w:cs="Arial"/>
                <w:szCs w:val="24"/>
              </w:rPr>
              <w:t xml:space="preserve">No, except for the </w:t>
            </w:r>
            <w:r w:rsidR="00D16979" w:rsidRPr="00721D48">
              <w:rPr>
                <w:rFonts w:cs="Arial"/>
                <w:szCs w:val="24"/>
              </w:rPr>
              <w:t>A</w:t>
            </w:r>
            <w:r w:rsidRPr="00721D48">
              <w:rPr>
                <w:rFonts w:cs="Arial"/>
                <w:szCs w:val="24"/>
              </w:rPr>
              <w:t xml:space="preserve">ppendix which is exempt (Part II) under Section12a of the Local Government Act 1972 (as amended) as it contains information relating to the </w:t>
            </w:r>
            <w:r w:rsidR="00721D48" w:rsidRPr="00721D48">
              <w:rPr>
                <w:rFonts w:cs="Arial"/>
                <w:szCs w:val="24"/>
              </w:rPr>
              <w:t xml:space="preserve">financial and </w:t>
            </w:r>
            <w:r w:rsidRPr="00721D48">
              <w:rPr>
                <w:rFonts w:cs="Arial"/>
                <w:szCs w:val="24"/>
              </w:rPr>
              <w:t>business affairs of any particular person (including the authority holding that information).</w:t>
            </w:r>
          </w:p>
          <w:p w14:paraId="755E47D1" w14:textId="77777777" w:rsidR="00977257" w:rsidRPr="005E3A10" w:rsidRDefault="00977257" w:rsidP="00977257">
            <w:pPr>
              <w:pStyle w:val="Infotext"/>
              <w:rPr>
                <w:rFonts w:cs="Arial"/>
                <w:color w:val="FF0000"/>
                <w:sz w:val="24"/>
                <w:szCs w:val="24"/>
              </w:rPr>
            </w:pPr>
          </w:p>
        </w:tc>
      </w:tr>
      <w:tr w:rsidR="00977257" w14:paraId="577CD75A" w14:textId="77777777" w:rsidTr="00977257">
        <w:tc>
          <w:tcPr>
            <w:tcW w:w="3397" w:type="dxa"/>
          </w:tcPr>
          <w:p w14:paraId="4821943C" w14:textId="77777777" w:rsidR="00977257" w:rsidRPr="00C13A5F" w:rsidRDefault="00977257" w:rsidP="00977257">
            <w:pPr>
              <w:pStyle w:val="Infotext"/>
              <w:spacing w:after="240"/>
              <w:rPr>
                <w:rFonts w:ascii="Arial Black" w:hAnsi="Arial Black"/>
              </w:rPr>
            </w:pPr>
            <w:r w:rsidRPr="00DB6C3D">
              <w:rPr>
                <w:rFonts w:ascii="Arial Black" w:hAnsi="Arial Black"/>
              </w:rPr>
              <w:t>Decision subject to Call-in:</w:t>
            </w:r>
          </w:p>
        </w:tc>
        <w:tc>
          <w:tcPr>
            <w:tcW w:w="4912" w:type="dxa"/>
          </w:tcPr>
          <w:p w14:paraId="0AECD361" w14:textId="26A63924" w:rsidR="00977257" w:rsidRPr="005E3A10" w:rsidRDefault="00721D48" w:rsidP="00977257">
            <w:pPr>
              <w:rPr>
                <w:rFonts w:cs="Arial"/>
                <w:szCs w:val="24"/>
              </w:rPr>
            </w:pPr>
            <w:r>
              <w:rPr>
                <w:rFonts w:cs="Arial"/>
                <w:szCs w:val="24"/>
              </w:rPr>
              <w:t>Y</w:t>
            </w:r>
            <w:r w:rsidR="00424B3E">
              <w:rPr>
                <w:rFonts w:cs="Arial"/>
                <w:szCs w:val="24"/>
              </w:rPr>
              <w:t>es</w:t>
            </w:r>
          </w:p>
          <w:p w14:paraId="3A75E271" w14:textId="77777777" w:rsidR="00977257" w:rsidRPr="005E3A10" w:rsidRDefault="00977257" w:rsidP="00977257">
            <w:pPr>
              <w:rPr>
                <w:rFonts w:cs="Arial"/>
                <w:szCs w:val="24"/>
              </w:rPr>
            </w:pPr>
          </w:p>
        </w:tc>
      </w:tr>
      <w:tr w:rsidR="00977257" w14:paraId="7E5497E1" w14:textId="77777777" w:rsidTr="00977257">
        <w:tc>
          <w:tcPr>
            <w:tcW w:w="3397" w:type="dxa"/>
          </w:tcPr>
          <w:p w14:paraId="6B5E6A6A" w14:textId="77777777" w:rsidR="00977257" w:rsidRPr="00C13A5F" w:rsidRDefault="00977257" w:rsidP="00977257">
            <w:pPr>
              <w:pStyle w:val="Infotext"/>
              <w:spacing w:after="240"/>
              <w:rPr>
                <w:rFonts w:ascii="Arial Black" w:hAnsi="Arial Black" w:cs="Arial"/>
              </w:rPr>
            </w:pPr>
            <w:r>
              <w:rPr>
                <w:rFonts w:ascii="Arial Black" w:hAnsi="Arial Black" w:cs="Arial"/>
              </w:rPr>
              <w:t>Wards affected:</w:t>
            </w:r>
          </w:p>
        </w:tc>
        <w:tc>
          <w:tcPr>
            <w:tcW w:w="4912" w:type="dxa"/>
          </w:tcPr>
          <w:p w14:paraId="52E38AE7" w14:textId="05140E7C" w:rsidR="00977257" w:rsidRPr="00307F76" w:rsidRDefault="00721D48" w:rsidP="00977257">
            <w:pPr>
              <w:rPr>
                <w:rFonts w:cs="Arial"/>
                <w:b/>
                <w:color w:val="FF0000"/>
                <w:szCs w:val="24"/>
              </w:rPr>
            </w:pPr>
            <w:r>
              <w:rPr>
                <w:rFonts w:cs="Arial"/>
                <w:szCs w:val="24"/>
              </w:rPr>
              <w:t>n/</w:t>
            </w:r>
            <w:r w:rsidR="00977257">
              <w:rPr>
                <w:rFonts w:cs="Arial"/>
                <w:szCs w:val="24"/>
              </w:rPr>
              <w:t>a</w:t>
            </w:r>
          </w:p>
        </w:tc>
      </w:tr>
      <w:tr w:rsidR="00977257" w14:paraId="5F1445BF" w14:textId="77777777" w:rsidTr="00977257">
        <w:tc>
          <w:tcPr>
            <w:tcW w:w="3397" w:type="dxa"/>
          </w:tcPr>
          <w:p w14:paraId="0E539C63" w14:textId="77777777" w:rsidR="00977257" w:rsidRPr="00C13A5F" w:rsidRDefault="00977257" w:rsidP="00977257">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412D946B" w:rsidR="00977257" w:rsidRPr="005E3A10" w:rsidRDefault="00DF12D6" w:rsidP="00977257">
            <w:pPr>
              <w:pStyle w:val="Infotext"/>
              <w:rPr>
                <w:color w:val="FF0000"/>
                <w:sz w:val="24"/>
                <w:szCs w:val="24"/>
              </w:rPr>
            </w:pPr>
            <w:r>
              <w:rPr>
                <w:rFonts w:cs="Arial"/>
                <w:sz w:val="24"/>
                <w:szCs w:val="24"/>
              </w:rPr>
              <w:t>A</w:t>
            </w:r>
            <w:r w:rsidR="00977257">
              <w:rPr>
                <w:rFonts w:cs="Arial"/>
                <w:sz w:val="24"/>
                <w:szCs w:val="24"/>
              </w:rPr>
              <w:t>ppendix</w:t>
            </w:r>
            <w:r w:rsidR="00186920">
              <w:rPr>
                <w:rFonts w:cs="Arial"/>
                <w:sz w:val="24"/>
                <w:szCs w:val="24"/>
              </w:rPr>
              <w:t xml:space="preserve"> 1 - EXEMPT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297714C" w14:textId="706D7E4A" w:rsidR="00977257" w:rsidRPr="0069132F" w:rsidRDefault="00977257" w:rsidP="00DF4103">
            <w:r w:rsidRPr="00DF4103">
              <w:t xml:space="preserve">The Council is due to enter </w:t>
            </w:r>
            <w:r w:rsidR="00DF4103" w:rsidRPr="00DF4103">
              <w:t xml:space="preserve">into a number of </w:t>
            </w:r>
            <w:r w:rsidRPr="00DF4103">
              <w:t xml:space="preserve">commercial leases each with a value of more than £250,000 over the term. The Harrow Constitution states that a Cabinet decision is required to provide the necessary authority for all disposals over £250,000. </w:t>
            </w:r>
          </w:p>
          <w:p w14:paraId="02274D72" w14:textId="46E251F1" w:rsidR="001C7E35" w:rsidRPr="00605A4C" w:rsidRDefault="00605A4C" w:rsidP="00E13BEF">
            <w:pPr>
              <w:pStyle w:val="Heading3"/>
              <w:spacing w:before="240"/>
            </w:pPr>
            <w:r>
              <w:t>Recommen</w:t>
            </w:r>
            <w:r w:rsidR="001C7E35" w:rsidRPr="00605A4C">
              <w:t xml:space="preserve">dations: </w:t>
            </w:r>
          </w:p>
          <w:p w14:paraId="0D7126B2" w14:textId="100E8B6C" w:rsidR="00977257" w:rsidRDefault="001C7E35" w:rsidP="00EF4106">
            <w:r>
              <w:t>Cabinet is requested to</w:t>
            </w:r>
            <w:r w:rsidR="00977257">
              <w:t xml:space="preserve"> </w:t>
            </w:r>
            <w:r w:rsidR="00A558FB">
              <w:t>a</w:t>
            </w:r>
            <w:r w:rsidR="00A558FB" w:rsidRPr="00647205">
              <w:t xml:space="preserve">uthorise </w:t>
            </w:r>
            <w:r w:rsidR="00977257" w:rsidRPr="00647205">
              <w:t xml:space="preserve">the Corporate Director of Place, following </w:t>
            </w:r>
            <w:r w:rsidR="00977257" w:rsidRPr="00E56D05">
              <w:rPr>
                <w:color w:val="282828"/>
                <w:w w:val="105"/>
              </w:rPr>
              <w:t>consultation</w:t>
            </w:r>
            <w:r w:rsidR="00977257" w:rsidRPr="00647205">
              <w:t xml:space="preserve"> with the Portfolio Holder for Business, Employment &amp; Property, to </w:t>
            </w:r>
            <w:r w:rsidR="00DE321D">
              <w:t xml:space="preserve">finalise </w:t>
            </w:r>
            <w:r w:rsidR="00E205F0">
              <w:t>and agree</w:t>
            </w:r>
            <w:r w:rsidR="00DE321D">
              <w:t xml:space="preserve"> terms </w:t>
            </w:r>
            <w:r w:rsidR="00E205F0">
              <w:t xml:space="preserve">to enter </w:t>
            </w:r>
            <w:r w:rsidR="00977257" w:rsidRPr="00647205">
              <w:t>into</w:t>
            </w:r>
            <w:r w:rsidR="000C634F">
              <w:t xml:space="preserve"> </w:t>
            </w:r>
            <w:r w:rsidR="00E205F0">
              <w:t xml:space="preserve">the </w:t>
            </w:r>
            <w:r w:rsidR="000C634F">
              <w:t>nine</w:t>
            </w:r>
            <w:r w:rsidR="00977257" w:rsidRPr="00647205">
              <w:t xml:space="preserve"> </w:t>
            </w:r>
            <w:r w:rsidR="00EF4106">
              <w:t xml:space="preserve">leases </w:t>
            </w:r>
            <w:r w:rsidR="00C03D13">
              <w:t xml:space="preserve">listed in the Part II Appendix </w:t>
            </w:r>
            <w:r w:rsidR="00EF4106">
              <w:t xml:space="preserve">which </w:t>
            </w:r>
            <w:r w:rsidR="00D818C5">
              <w:t xml:space="preserve">are or will be </w:t>
            </w:r>
            <w:r w:rsidR="00EF4106">
              <w:t xml:space="preserve">at market value </w:t>
            </w:r>
            <w:r w:rsidR="002B7009">
              <w:t>and</w:t>
            </w:r>
            <w:r w:rsidR="00EF4106">
              <w:t xml:space="preserve"> </w:t>
            </w:r>
            <w:r w:rsidR="00AB6FA4">
              <w:t>will</w:t>
            </w:r>
            <w:r w:rsidR="00EF4106">
              <w:t xml:space="preserve"> have a total value (over the term) of more than £250,000</w:t>
            </w:r>
            <w:r w:rsidR="00370C78">
              <w:t xml:space="preserve">. </w:t>
            </w:r>
          </w:p>
          <w:p w14:paraId="19076622" w14:textId="4BE5ED29" w:rsidR="0037324D" w:rsidRDefault="0037324D" w:rsidP="00EF4106">
            <w:pPr>
              <w:rPr>
                <w:color w:val="282828"/>
                <w:w w:val="105"/>
                <w:sz w:val="22"/>
                <w:szCs w:val="22"/>
              </w:rPr>
            </w:pPr>
          </w:p>
          <w:p w14:paraId="061365F9" w14:textId="7C9AC2B5" w:rsidR="001C7E35" w:rsidRPr="00F06E4E" w:rsidRDefault="00E13BEF" w:rsidP="00E13BEF">
            <w:pPr>
              <w:pStyle w:val="Heading3"/>
              <w:ind w:left="0" w:firstLine="0"/>
              <w:jc w:val="left"/>
              <w:rPr>
                <w:color w:val="FF0000"/>
              </w:rPr>
            </w:pPr>
            <w:r>
              <w:t xml:space="preserve">Reason:  </w:t>
            </w:r>
            <w:r w:rsidR="00977257" w:rsidRPr="00DF4103">
              <w:rPr>
                <w:rFonts w:cs="Times New Roman"/>
                <w:b w:val="0"/>
                <w:bCs w:val="0"/>
                <w:sz w:val="24"/>
                <w:szCs w:val="20"/>
              </w:rPr>
              <w:t>The leases</w:t>
            </w:r>
            <w:r w:rsidR="00C03D13">
              <w:rPr>
                <w:rFonts w:cs="Times New Roman"/>
                <w:b w:val="0"/>
                <w:bCs w:val="0"/>
                <w:sz w:val="24"/>
                <w:szCs w:val="20"/>
              </w:rPr>
              <w:t xml:space="preserve"> specified in the Part II Appendix</w:t>
            </w:r>
            <w:r w:rsidR="00977257" w:rsidRPr="00DF4103">
              <w:rPr>
                <w:rFonts w:cs="Times New Roman"/>
                <w:b w:val="0"/>
                <w:bCs w:val="0"/>
                <w:sz w:val="24"/>
                <w:szCs w:val="20"/>
              </w:rPr>
              <w:t xml:space="preserve"> contribute to the budgeted income stream which the commercial property portfolio generates</w:t>
            </w:r>
            <w:r w:rsidR="006E13D0">
              <w:rPr>
                <w:rFonts w:cs="Times New Roman"/>
                <w:b w:val="0"/>
                <w:bCs w:val="0"/>
                <w:sz w:val="24"/>
                <w:szCs w:val="20"/>
              </w:rPr>
              <w:t xml:space="preserve"> by way of the collection of rent</w:t>
            </w:r>
            <w:r w:rsidR="00977257" w:rsidRPr="00DF4103">
              <w:rPr>
                <w:rFonts w:cs="Times New Roman"/>
                <w:b w:val="0"/>
                <w:bCs w:val="0"/>
                <w:sz w:val="24"/>
                <w:szCs w:val="20"/>
              </w:rPr>
              <w:t xml:space="preserve">. The buildings </w:t>
            </w:r>
            <w:r w:rsidR="006E13D0">
              <w:rPr>
                <w:rFonts w:cs="Times New Roman"/>
                <w:b w:val="0"/>
                <w:bCs w:val="0"/>
                <w:sz w:val="24"/>
                <w:szCs w:val="20"/>
              </w:rPr>
              <w:t>are either currently occupied by the tenants (and have been for several years) and</w:t>
            </w:r>
            <w:r w:rsidR="00977257" w:rsidRPr="00DF4103">
              <w:rPr>
                <w:rFonts w:cs="Times New Roman"/>
                <w:b w:val="0"/>
                <w:bCs w:val="0"/>
                <w:sz w:val="24"/>
                <w:szCs w:val="20"/>
              </w:rPr>
              <w:t xml:space="preserve"> their leases are being renewed</w:t>
            </w:r>
            <w:r w:rsidR="006E13D0">
              <w:rPr>
                <w:rFonts w:cs="Times New Roman"/>
                <w:b w:val="0"/>
                <w:bCs w:val="0"/>
                <w:sz w:val="24"/>
                <w:szCs w:val="20"/>
              </w:rPr>
              <w:t>,</w:t>
            </w:r>
            <w:r w:rsidR="00DF4103">
              <w:rPr>
                <w:rFonts w:cs="Times New Roman"/>
                <w:b w:val="0"/>
                <w:bCs w:val="0"/>
                <w:sz w:val="24"/>
                <w:szCs w:val="20"/>
              </w:rPr>
              <w:t xml:space="preserve"> or the spaces are under offer to tenants following a period of open marketing.  </w:t>
            </w:r>
            <w:r w:rsidR="00977257">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05ECECA9" w14:textId="77777777" w:rsidR="00977257" w:rsidRPr="00977257" w:rsidRDefault="00977257" w:rsidP="00977257">
      <w:pPr>
        <w:pStyle w:val="BodyText"/>
        <w:spacing w:before="1" w:line="252" w:lineRule="auto"/>
        <w:ind w:right="87" w:firstLine="5"/>
        <w:jc w:val="both"/>
        <w:rPr>
          <w:i w:val="0"/>
          <w:iCs w:val="0"/>
          <w:szCs w:val="24"/>
        </w:rPr>
      </w:pPr>
      <w:r w:rsidRPr="00977257">
        <w:rPr>
          <w:i w:val="0"/>
          <w:iCs w:val="0"/>
          <w:color w:val="282828"/>
          <w:w w:val="105"/>
          <w:szCs w:val="24"/>
        </w:rPr>
        <w:t xml:space="preserve">Under the Constitution, Section 4K ‘Financial Regulations’, sub-section F6, Land </w:t>
      </w:r>
      <w:r w:rsidRPr="00977257">
        <w:rPr>
          <w:i w:val="0"/>
          <w:iCs w:val="0"/>
          <w:szCs w:val="24"/>
        </w:rPr>
        <w:t xml:space="preserve">and </w:t>
      </w:r>
      <w:r w:rsidRPr="00977257">
        <w:rPr>
          <w:i w:val="0"/>
          <w:iCs w:val="0"/>
          <w:color w:val="282828"/>
          <w:w w:val="105"/>
          <w:szCs w:val="24"/>
        </w:rPr>
        <w:t>Property</w:t>
      </w:r>
      <w:r w:rsidRPr="00977257">
        <w:rPr>
          <w:i w:val="0"/>
          <w:iCs w:val="0"/>
          <w:szCs w:val="24"/>
        </w:rPr>
        <w:t xml:space="preserve"> Disposals, states the following:</w:t>
      </w:r>
    </w:p>
    <w:p w14:paraId="6D3FB77B" w14:textId="77777777" w:rsidR="00977257" w:rsidRPr="00977257" w:rsidRDefault="00977257" w:rsidP="00977257">
      <w:pPr>
        <w:pStyle w:val="BodyText"/>
        <w:spacing w:before="1" w:line="252" w:lineRule="auto"/>
        <w:ind w:right="87" w:firstLine="5"/>
        <w:jc w:val="both"/>
        <w:rPr>
          <w:i w:val="0"/>
          <w:iCs w:val="0"/>
          <w:szCs w:val="24"/>
        </w:rPr>
      </w:pPr>
    </w:p>
    <w:p w14:paraId="406ECA57" w14:textId="77777777" w:rsidR="00977257" w:rsidRPr="00DF4103" w:rsidRDefault="00977257" w:rsidP="00977257">
      <w:pPr>
        <w:pStyle w:val="BodyText"/>
        <w:spacing w:before="1" w:line="252" w:lineRule="auto"/>
        <w:ind w:right="87" w:firstLine="5"/>
        <w:jc w:val="both"/>
        <w:rPr>
          <w:szCs w:val="24"/>
        </w:rPr>
      </w:pPr>
      <w:r w:rsidRPr="00DF4103">
        <w:rPr>
          <w:color w:val="282828"/>
          <w:w w:val="105"/>
          <w:szCs w:val="24"/>
        </w:rPr>
        <w:t>C</w:t>
      </w:r>
      <w:r w:rsidRPr="00DF4103">
        <w:rPr>
          <w:szCs w:val="24"/>
        </w:rPr>
        <w:t>orporate Directors in conjunction with the portfolio holder have delegated authority for General Land and Property disposals £0.250m. Anything above £0.250m must be reported to the Cabinet for approval.</w:t>
      </w:r>
    </w:p>
    <w:p w14:paraId="755551BB" w14:textId="77777777" w:rsidR="00977257" w:rsidRPr="00977257" w:rsidRDefault="00977257" w:rsidP="00977257">
      <w:pPr>
        <w:pStyle w:val="BodyText"/>
        <w:spacing w:before="1" w:line="252" w:lineRule="auto"/>
        <w:ind w:right="87" w:firstLine="5"/>
        <w:jc w:val="both"/>
        <w:rPr>
          <w:i w:val="0"/>
          <w:iCs w:val="0"/>
          <w:szCs w:val="24"/>
        </w:rPr>
      </w:pPr>
    </w:p>
    <w:p w14:paraId="652D62E0" w14:textId="7C9ADD8B" w:rsidR="00977257" w:rsidRPr="00977257" w:rsidRDefault="00977257" w:rsidP="00977257">
      <w:pPr>
        <w:pStyle w:val="BodyText"/>
        <w:spacing w:before="1" w:line="252" w:lineRule="auto"/>
        <w:ind w:right="87" w:firstLine="5"/>
        <w:jc w:val="both"/>
        <w:rPr>
          <w:i w:val="0"/>
          <w:iCs w:val="0"/>
          <w:szCs w:val="24"/>
        </w:rPr>
      </w:pPr>
      <w:r w:rsidRPr="00977257">
        <w:rPr>
          <w:i w:val="0"/>
          <w:iCs w:val="0"/>
          <w:szCs w:val="24"/>
        </w:rPr>
        <w:t xml:space="preserve">The leases </w:t>
      </w:r>
      <w:r w:rsidR="00C03D13">
        <w:rPr>
          <w:i w:val="0"/>
          <w:iCs w:val="0"/>
          <w:szCs w:val="24"/>
        </w:rPr>
        <w:t>listed in the Part II Appendix</w:t>
      </w:r>
      <w:r w:rsidR="00E24EA6">
        <w:rPr>
          <w:i w:val="0"/>
          <w:iCs w:val="0"/>
          <w:szCs w:val="24"/>
        </w:rPr>
        <w:t xml:space="preserve"> </w:t>
      </w:r>
      <w:r w:rsidRPr="00977257">
        <w:rPr>
          <w:i w:val="0"/>
          <w:iCs w:val="0"/>
          <w:szCs w:val="24"/>
        </w:rPr>
        <w:t xml:space="preserve">in this report are considered to be disposals as they </w:t>
      </w:r>
      <w:r w:rsidR="006E13D0">
        <w:rPr>
          <w:i w:val="0"/>
          <w:iCs w:val="0"/>
          <w:szCs w:val="24"/>
        </w:rPr>
        <w:t xml:space="preserve">are </w:t>
      </w:r>
      <w:r w:rsidR="00141A68">
        <w:rPr>
          <w:i w:val="0"/>
          <w:iCs w:val="0"/>
          <w:szCs w:val="24"/>
        </w:rPr>
        <w:t>generally</w:t>
      </w:r>
      <w:r w:rsidRPr="00977257">
        <w:rPr>
          <w:i w:val="0"/>
          <w:iCs w:val="0"/>
          <w:szCs w:val="24"/>
        </w:rPr>
        <w:t xml:space="preserve"> all for terms of more than seven years. </w:t>
      </w:r>
      <w:r w:rsidR="00931000">
        <w:rPr>
          <w:i w:val="0"/>
          <w:iCs w:val="0"/>
          <w:szCs w:val="24"/>
        </w:rPr>
        <w:t xml:space="preserve">They are all at market value having been negotiated by chartered surveyors in the </w:t>
      </w:r>
      <w:r w:rsidR="006450DA">
        <w:rPr>
          <w:i w:val="0"/>
          <w:iCs w:val="0"/>
          <w:szCs w:val="24"/>
        </w:rPr>
        <w:t xml:space="preserve">Corporate </w:t>
      </w:r>
      <w:r w:rsidR="00931000">
        <w:rPr>
          <w:i w:val="0"/>
          <w:iCs w:val="0"/>
          <w:szCs w:val="24"/>
        </w:rPr>
        <w:t xml:space="preserve">Estates team. </w:t>
      </w:r>
      <w:r w:rsidRPr="00977257">
        <w:rPr>
          <w:i w:val="0"/>
          <w:iCs w:val="0"/>
          <w:szCs w:val="24"/>
        </w:rPr>
        <w:t xml:space="preserve">The value of each lease to the council (i.e. the sum of the revenues over the term) </w:t>
      </w:r>
      <w:r w:rsidR="00DF4103">
        <w:rPr>
          <w:i w:val="0"/>
          <w:iCs w:val="0"/>
          <w:szCs w:val="24"/>
        </w:rPr>
        <w:t>will exceed</w:t>
      </w:r>
      <w:r w:rsidRPr="00977257">
        <w:rPr>
          <w:i w:val="0"/>
          <w:iCs w:val="0"/>
          <w:szCs w:val="24"/>
        </w:rPr>
        <w:t xml:space="preserve"> £250,000, so a Cabinet decision must be taken to give the necessary authority to the Corporate Director to enter into</w:t>
      </w:r>
      <w:r w:rsidR="00E24EA6">
        <w:rPr>
          <w:i w:val="0"/>
          <w:iCs w:val="0"/>
          <w:szCs w:val="24"/>
        </w:rPr>
        <w:t xml:space="preserve"> negotiations </w:t>
      </w:r>
      <w:r w:rsidR="00D1685F">
        <w:rPr>
          <w:i w:val="0"/>
          <w:iCs w:val="0"/>
          <w:szCs w:val="24"/>
        </w:rPr>
        <w:t>and</w:t>
      </w:r>
      <w:r w:rsidR="00D91FBB">
        <w:rPr>
          <w:i w:val="0"/>
          <w:iCs w:val="0"/>
          <w:szCs w:val="24"/>
        </w:rPr>
        <w:t>,</w:t>
      </w:r>
      <w:r w:rsidR="00D1685F">
        <w:rPr>
          <w:i w:val="0"/>
          <w:iCs w:val="0"/>
          <w:szCs w:val="24"/>
        </w:rPr>
        <w:t xml:space="preserve"> once satisfied that best value has been achieved and all other terms are acceptable, to</w:t>
      </w:r>
      <w:r w:rsidR="00E24EA6">
        <w:rPr>
          <w:i w:val="0"/>
          <w:iCs w:val="0"/>
          <w:szCs w:val="24"/>
        </w:rPr>
        <w:t xml:space="preserve"> complete</w:t>
      </w:r>
      <w:r w:rsidRPr="00977257">
        <w:rPr>
          <w:i w:val="0"/>
          <w:iCs w:val="0"/>
          <w:szCs w:val="24"/>
        </w:rPr>
        <w:t xml:space="preserve"> the leases. In each case, the tenants are either already in the building</w:t>
      </w:r>
      <w:r w:rsidR="00D91FBB">
        <w:rPr>
          <w:i w:val="0"/>
          <w:iCs w:val="0"/>
          <w:szCs w:val="24"/>
        </w:rPr>
        <w:t xml:space="preserve"> under previous leases</w:t>
      </w:r>
      <w:r w:rsidRPr="00977257">
        <w:rPr>
          <w:i w:val="0"/>
          <w:iCs w:val="0"/>
          <w:szCs w:val="24"/>
        </w:rPr>
        <w:t>, or the space is under offer to a new tenant</w:t>
      </w:r>
      <w:r>
        <w:rPr>
          <w:i w:val="0"/>
          <w:iCs w:val="0"/>
          <w:szCs w:val="24"/>
        </w:rPr>
        <w:t xml:space="preserve"> via an open marketing process. </w:t>
      </w:r>
    </w:p>
    <w:p w14:paraId="1937139A" w14:textId="77777777" w:rsidR="00977257" w:rsidRPr="00977257" w:rsidRDefault="00977257" w:rsidP="00977257">
      <w:pPr>
        <w:pStyle w:val="BodyText"/>
        <w:spacing w:before="1" w:line="252" w:lineRule="auto"/>
        <w:ind w:right="87" w:firstLine="5"/>
        <w:jc w:val="both"/>
        <w:rPr>
          <w:i w:val="0"/>
          <w:iCs w:val="0"/>
          <w:szCs w:val="24"/>
        </w:rPr>
      </w:pPr>
    </w:p>
    <w:p w14:paraId="70F7C7D2" w14:textId="17E35664" w:rsidR="00977257" w:rsidRPr="00977257" w:rsidRDefault="00977257" w:rsidP="00977257">
      <w:pPr>
        <w:pStyle w:val="BodyText"/>
        <w:spacing w:before="1" w:line="252" w:lineRule="auto"/>
        <w:ind w:right="87" w:firstLine="5"/>
        <w:jc w:val="both"/>
        <w:rPr>
          <w:i w:val="0"/>
          <w:iCs w:val="0"/>
          <w:sz w:val="22"/>
          <w:szCs w:val="22"/>
        </w:rPr>
      </w:pPr>
      <w:r w:rsidRPr="00977257">
        <w:rPr>
          <w:i w:val="0"/>
          <w:iCs w:val="0"/>
          <w:szCs w:val="24"/>
        </w:rPr>
        <w:t xml:space="preserve">The </w:t>
      </w:r>
      <w:r w:rsidR="00DF4103">
        <w:rPr>
          <w:i w:val="0"/>
          <w:iCs w:val="0"/>
          <w:szCs w:val="24"/>
        </w:rPr>
        <w:t>rent from the leases</w:t>
      </w:r>
      <w:r w:rsidRPr="00977257">
        <w:rPr>
          <w:i w:val="0"/>
          <w:iCs w:val="0"/>
          <w:szCs w:val="24"/>
        </w:rPr>
        <w:t xml:space="preserve"> will contribute to the Council’s annual income, and the letting of currently vacant unit</w:t>
      </w:r>
      <w:r w:rsidR="00DF4103">
        <w:rPr>
          <w:i w:val="0"/>
          <w:iCs w:val="0"/>
          <w:szCs w:val="24"/>
        </w:rPr>
        <w:t>s</w:t>
      </w:r>
      <w:r w:rsidRPr="00977257">
        <w:rPr>
          <w:i w:val="0"/>
          <w:iCs w:val="0"/>
          <w:szCs w:val="24"/>
        </w:rPr>
        <w:t xml:space="preserve"> will allow savings to be made as the council will no longer be liable for the</w:t>
      </w:r>
      <w:r w:rsidR="00DF4103">
        <w:rPr>
          <w:i w:val="0"/>
          <w:iCs w:val="0"/>
          <w:szCs w:val="24"/>
        </w:rPr>
        <w:t xml:space="preserve"> empty</w:t>
      </w:r>
      <w:r w:rsidRPr="00977257">
        <w:rPr>
          <w:i w:val="0"/>
          <w:iCs w:val="0"/>
          <w:szCs w:val="24"/>
        </w:rPr>
        <w:t xml:space="preserve"> business rates</w:t>
      </w:r>
      <w:r w:rsidRPr="00977257">
        <w:rPr>
          <w:i w:val="0"/>
          <w:iCs w:val="0"/>
          <w:sz w:val="22"/>
          <w:szCs w:val="22"/>
        </w:rPr>
        <w:t xml:space="preserve"> and service charges. </w:t>
      </w:r>
    </w:p>
    <w:p w14:paraId="1027BA3D" w14:textId="77777777" w:rsidR="00721D48" w:rsidRDefault="00721D48" w:rsidP="00A1211C">
      <w:pPr>
        <w:pStyle w:val="Heading3"/>
        <w:spacing w:before="240"/>
        <w:ind w:left="0" w:firstLine="0"/>
        <w:jc w:val="left"/>
      </w:pPr>
    </w:p>
    <w:p w14:paraId="0A078380" w14:textId="09F4D1F8" w:rsidR="00AD1E77" w:rsidRDefault="001C7E35" w:rsidP="00A1211C">
      <w:pPr>
        <w:pStyle w:val="Heading3"/>
        <w:spacing w:before="240"/>
        <w:ind w:left="0" w:firstLine="0"/>
        <w:jc w:val="left"/>
      </w:pPr>
      <w:r>
        <w:lastRenderedPageBreak/>
        <w:t xml:space="preserve">Options considered  </w:t>
      </w:r>
    </w:p>
    <w:p w14:paraId="6D133B11" w14:textId="77777777" w:rsidR="00D35DDD" w:rsidRPr="00A23D23" w:rsidRDefault="00D35DDD" w:rsidP="00D35DDD">
      <w:pPr>
        <w:pStyle w:val="BodyText"/>
        <w:spacing w:before="1" w:line="252" w:lineRule="auto"/>
        <w:ind w:right="87" w:firstLine="5"/>
        <w:jc w:val="both"/>
        <w:rPr>
          <w:color w:val="282828"/>
          <w:w w:val="105"/>
        </w:rPr>
      </w:pPr>
      <w:r w:rsidRPr="00A23D23">
        <w:rPr>
          <w:b/>
          <w:color w:val="282828"/>
          <w:w w:val="105"/>
        </w:rPr>
        <w:t>Option</w:t>
      </w:r>
      <w:r w:rsidRPr="00A23D23">
        <w:rPr>
          <w:b/>
          <w:color w:val="282828"/>
          <w:spacing w:val="-6"/>
          <w:w w:val="105"/>
        </w:rPr>
        <w:t xml:space="preserve"> </w:t>
      </w:r>
      <w:r w:rsidRPr="00A23D23">
        <w:rPr>
          <w:b/>
          <w:color w:val="282828"/>
          <w:w w:val="105"/>
        </w:rPr>
        <w:t>1</w:t>
      </w:r>
      <w:r>
        <w:rPr>
          <w:b/>
          <w:color w:val="282828"/>
          <w:w w:val="105"/>
        </w:rPr>
        <w:t xml:space="preserve"> - </w:t>
      </w:r>
      <w:r w:rsidRPr="00A23D23">
        <w:rPr>
          <w:color w:val="282828"/>
          <w:w w:val="105"/>
        </w:rPr>
        <w:t>Do</w:t>
      </w:r>
      <w:r w:rsidRPr="00A23D23">
        <w:rPr>
          <w:color w:val="282828"/>
          <w:spacing w:val="-9"/>
          <w:w w:val="105"/>
        </w:rPr>
        <w:t xml:space="preserve"> </w:t>
      </w:r>
      <w:r w:rsidRPr="00EA5FFC">
        <w:rPr>
          <w:sz w:val="22"/>
          <w:szCs w:val="22"/>
        </w:rPr>
        <w:t>not</w:t>
      </w:r>
      <w:r w:rsidRPr="00A23D23">
        <w:rPr>
          <w:color w:val="282828"/>
          <w:spacing w:val="-5"/>
          <w:w w:val="105"/>
        </w:rPr>
        <w:t xml:space="preserve"> </w:t>
      </w:r>
      <w:r w:rsidRPr="00A23D23">
        <w:rPr>
          <w:color w:val="282828"/>
          <w:w w:val="105"/>
        </w:rPr>
        <w:t>enter the leases</w:t>
      </w:r>
    </w:p>
    <w:p w14:paraId="15CDDC49" w14:textId="6BE44D94" w:rsidR="00D35DDD" w:rsidRPr="00A23D23" w:rsidRDefault="00D35DDD" w:rsidP="00D35DDD">
      <w:pPr>
        <w:pStyle w:val="BodyText"/>
        <w:spacing w:before="1" w:line="252" w:lineRule="auto"/>
        <w:ind w:right="87" w:firstLine="5"/>
        <w:jc w:val="both"/>
      </w:pPr>
      <w:r w:rsidRPr="00A23D23">
        <w:rPr>
          <w:b/>
          <w:color w:val="282828"/>
          <w:w w:val="105"/>
        </w:rPr>
        <w:t xml:space="preserve">Option 2 </w:t>
      </w:r>
      <w:r>
        <w:rPr>
          <w:b/>
          <w:color w:val="282828"/>
          <w:w w:val="105"/>
        </w:rPr>
        <w:t xml:space="preserve">- </w:t>
      </w:r>
      <w:r>
        <w:rPr>
          <w:sz w:val="22"/>
          <w:szCs w:val="22"/>
        </w:rPr>
        <w:t>E</w:t>
      </w:r>
      <w:r w:rsidRPr="00EA5FFC">
        <w:rPr>
          <w:sz w:val="22"/>
          <w:szCs w:val="22"/>
        </w:rPr>
        <w:t>nter</w:t>
      </w:r>
      <w:r w:rsidRPr="00A23D23">
        <w:t xml:space="preserve"> into the leases</w:t>
      </w:r>
      <w:r w:rsidR="00FA5C3D">
        <w:t xml:space="preserve"> at the best rent reasonably obtainable</w:t>
      </w:r>
      <w:r w:rsidRPr="00A23D23">
        <w:t xml:space="preserve">. </w:t>
      </w:r>
    </w:p>
    <w:p w14:paraId="7AA5D530" w14:textId="68CA6713" w:rsidR="00307F76" w:rsidRDefault="00307F76" w:rsidP="001472A8">
      <w:pPr>
        <w:spacing w:before="240"/>
        <w:rPr>
          <w:b/>
          <w:szCs w:val="24"/>
        </w:rPr>
      </w:pPr>
      <w:r w:rsidRPr="00F06E4E">
        <w:rPr>
          <w:b/>
          <w:szCs w:val="24"/>
        </w:rPr>
        <w:t xml:space="preserve">Ward Councillors’ comments </w:t>
      </w:r>
    </w:p>
    <w:p w14:paraId="37E1387E" w14:textId="2B16BCED" w:rsidR="00D35DDD" w:rsidRPr="00DF4103" w:rsidRDefault="00D35DDD" w:rsidP="001472A8">
      <w:pPr>
        <w:spacing w:before="240"/>
        <w:rPr>
          <w:bCs/>
          <w:szCs w:val="24"/>
        </w:rPr>
      </w:pPr>
      <w:r w:rsidRPr="00DF4103">
        <w:rPr>
          <w:bCs/>
          <w:szCs w:val="24"/>
        </w:rPr>
        <w:t>n/a as the income stream from the properties affects all wards</w:t>
      </w:r>
    </w:p>
    <w:p w14:paraId="75284416" w14:textId="1002A45A" w:rsidR="00A81E19" w:rsidRDefault="00A81E19" w:rsidP="00A1211C">
      <w:pPr>
        <w:pStyle w:val="Heading3"/>
        <w:spacing w:before="480" w:after="240"/>
      </w:pPr>
      <w:r>
        <w:t>Risk Management Implications</w:t>
      </w:r>
    </w:p>
    <w:p w14:paraId="0B289C2F" w14:textId="2F76804A"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1714989E"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44001D25" w14:textId="77777777" w:rsidR="00ED4760" w:rsidRDefault="00C53F1A" w:rsidP="00ED4760">
      <w:pPr>
        <w:tabs>
          <w:tab w:val="left" w:pos="5610"/>
        </w:tabs>
        <w:ind w:right="81"/>
        <w:rPr>
          <w:rFonts w:cs="Arial"/>
          <w:szCs w:val="24"/>
          <w:lang w:val="en-US"/>
        </w:rPr>
      </w:pPr>
      <w:r>
        <w:t xml:space="preserve">The relevant risks contained in the register are attached/summarised below. </w:t>
      </w:r>
    </w:p>
    <w:p w14:paraId="6C1BE150" w14:textId="77777777" w:rsidR="00ED4760" w:rsidRDefault="00ED4760" w:rsidP="00ED4760">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049F9E05" w14:textId="77777777" w:rsidR="00ED4760" w:rsidRDefault="00ED4760" w:rsidP="00ED4760">
      <w:pPr>
        <w:ind w:left="-142" w:right="141"/>
        <w:rPr>
          <w:rFonts w:cs="Arial"/>
          <w:szCs w:val="24"/>
          <w:lang w:val="en-US" w:eastAsia="en-GB"/>
        </w:rPr>
      </w:pPr>
      <w:r>
        <w:rPr>
          <w:rFonts w:cs="Arial"/>
          <w:szCs w:val="24"/>
          <w:lang w:val="en-US" w:eastAsia="en-GB"/>
        </w:rPr>
        <w:t xml:space="preserve">  </w:t>
      </w:r>
    </w:p>
    <w:p w14:paraId="7A7DE547" w14:textId="77777777" w:rsidR="00ED4760" w:rsidRDefault="00ED4760" w:rsidP="00ED4760">
      <w:pPr>
        <w:ind w:left="-142" w:right="141" w:firstLine="142"/>
        <w:rPr>
          <w:rFonts w:cs="Arial"/>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4AD1CF3A" w14:textId="77777777" w:rsidR="00ED4760" w:rsidRDefault="00ED4760" w:rsidP="00ED4760">
      <w:pPr>
        <w:ind w:left="-142" w:right="141" w:firstLine="142"/>
        <w:rPr>
          <w:rFonts w:cs="Arial"/>
          <w:color w:val="4F81BD" w:themeColor="accent1"/>
          <w:szCs w:val="24"/>
          <w:lang w:val="en-US" w:eastAsia="en-GB"/>
        </w:rPr>
      </w:pPr>
    </w:p>
    <w:p w14:paraId="6E07B66A" w14:textId="77777777" w:rsidR="00ED4760" w:rsidRDefault="00ED4760" w:rsidP="00ED4760">
      <w:pPr>
        <w:rPr>
          <w:bCs/>
        </w:rPr>
      </w:pPr>
      <w:r>
        <w:rPr>
          <w:bCs/>
        </w:rPr>
        <w:t>The following key risks should be taken into account when agreeing the recommendations in this report:</w:t>
      </w:r>
    </w:p>
    <w:p w14:paraId="38EDF240" w14:textId="77777777" w:rsidR="00ED4760" w:rsidRDefault="00ED4760" w:rsidP="00ED4760">
      <w:pPr>
        <w:rPr>
          <w:b/>
        </w:rPr>
      </w:pPr>
    </w:p>
    <w:tbl>
      <w:tblPr>
        <w:tblStyle w:val="TableGrid"/>
        <w:tblW w:w="0" w:type="auto"/>
        <w:tblLook w:val="04A0" w:firstRow="1" w:lastRow="0" w:firstColumn="1" w:lastColumn="0" w:noHBand="0" w:noVBand="1"/>
      </w:tblPr>
      <w:tblGrid>
        <w:gridCol w:w="2766"/>
        <w:gridCol w:w="2766"/>
        <w:gridCol w:w="2767"/>
      </w:tblGrid>
      <w:tr w:rsidR="00ED4760" w14:paraId="0415834C" w14:textId="77777777" w:rsidTr="00ED4760">
        <w:tc>
          <w:tcPr>
            <w:tcW w:w="2766" w:type="dxa"/>
            <w:tcBorders>
              <w:top w:val="single" w:sz="4" w:space="0" w:color="auto"/>
              <w:left w:val="single" w:sz="4" w:space="0" w:color="auto"/>
              <w:bottom w:val="single" w:sz="4" w:space="0" w:color="auto"/>
              <w:right w:val="single" w:sz="4" w:space="0" w:color="auto"/>
            </w:tcBorders>
            <w:hideMark/>
          </w:tcPr>
          <w:p w14:paraId="1B7350E7" w14:textId="77777777" w:rsidR="00ED4760" w:rsidRDefault="00ED4760">
            <w:pPr>
              <w:rPr>
                <w:b/>
              </w:rPr>
            </w:pPr>
            <w:r>
              <w:rPr>
                <w:b/>
              </w:rPr>
              <w:t>Risk Description</w:t>
            </w:r>
          </w:p>
        </w:tc>
        <w:tc>
          <w:tcPr>
            <w:tcW w:w="2766" w:type="dxa"/>
            <w:tcBorders>
              <w:top w:val="single" w:sz="4" w:space="0" w:color="auto"/>
              <w:left w:val="single" w:sz="4" w:space="0" w:color="auto"/>
              <w:bottom w:val="single" w:sz="4" w:space="0" w:color="auto"/>
              <w:right w:val="single" w:sz="4" w:space="0" w:color="auto"/>
            </w:tcBorders>
            <w:hideMark/>
          </w:tcPr>
          <w:p w14:paraId="31F3649E" w14:textId="77777777" w:rsidR="00ED4760" w:rsidRDefault="00ED4760">
            <w:pPr>
              <w:rPr>
                <w:b/>
              </w:rPr>
            </w:pPr>
            <w:r>
              <w:rPr>
                <w:b/>
              </w:rPr>
              <w:t>Mitigations</w:t>
            </w:r>
          </w:p>
        </w:tc>
        <w:tc>
          <w:tcPr>
            <w:tcW w:w="2767" w:type="dxa"/>
            <w:tcBorders>
              <w:top w:val="single" w:sz="4" w:space="0" w:color="auto"/>
              <w:left w:val="single" w:sz="4" w:space="0" w:color="auto"/>
              <w:bottom w:val="single" w:sz="4" w:space="0" w:color="auto"/>
              <w:right w:val="single" w:sz="4" w:space="0" w:color="auto"/>
            </w:tcBorders>
          </w:tcPr>
          <w:p w14:paraId="6167CBCD" w14:textId="77777777" w:rsidR="00ED4760" w:rsidRDefault="00ED4760">
            <w:pPr>
              <w:rPr>
                <w:b/>
              </w:rPr>
            </w:pPr>
            <w:r>
              <w:rPr>
                <w:b/>
              </w:rPr>
              <w:t>RAG Status</w:t>
            </w:r>
          </w:p>
          <w:p w14:paraId="66025F79" w14:textId="77777777" w:rsidR="00ED4760" w:rsidRDefault="00ED4760">
            <w:pPr>
              <w:rPr>
                <w:b/>
              </w:rPr>
            </w:pPr>
          </w:p>
        </w:tc>
      </w:tr>
      <w:tr w:rsidR="00ED4760" w14:paraId="09176163" w14:textId="77777777" w:rsidTr="00ED4760">
        <w:tc>
          <w:tcPr>
            <w:tcW w:w="2766" w:type="dxa"/>
            <w:tcBorders>
              <w:top w:val="single" w:sz="4" w:space="0" w:color="auto"/>
              <w:left w:val="single" w:sz="4" w:space="0" w:color="auto"/>
              <w:bottom w:val="single" w:sz="4" w:space="0" w:color="auto"/>
              <w:right w:val="single" w:sz="4" w:space="0" w:color="auto"/>
            </w:tcBorders>
            <w:hideMark/>
          </w:tcPr>
          <w:p w14:paraId="485AA205" w14:textId="77777777" w:rsidR="00ED4760" w:rsidRPr="005441DF" w:rsidRDefault="00ED4760">
            <w:pPr>
              <w:rPr>
                <w:bCs/>
                <w:sz w:val="22"/>
                <w:szCs w:val="18"/>
              </w:rPr>
            </w:pPr>
            <w:r w:rsidRPr="005441DF">
              <w:rPr>
                <w:bCs/>
                <w:sz w:val="22"/>
                <w:szCs w:val="18"/>
              </w:rPr>
              <w:t>The disposals are not for the best consideration reasonably obtainable</w:t>
            </w:r>
          </w:p>
        </w:tc>
        <w:tc>
          <w:tcPr>
            <w:tcW w:w="2766" w:type="dxa"/>
            <w:tcBorders>
              <w:top w:val="single" w:sz="4" w:space="0" w:color="auto"/>
              <w:left w:val="single" w:sz="4" w:space="0" w:color="auto"/>
              <w:bottom w:val="single" w:sz="4" w:space="0" w:color="auto"/>
              <w:right w:val="single" w:sz="4" w:space="0" w:color="auto"/>
            </w:tcBorders>
            <w:hideMark/>
          </w:tcPr>
          <w:p w14:paraId="5806887C" w14:textId="3D3BC741" w:rsidR="00ED4760" w:rsidRPr="005441DF" w:rsidRDefault="00ED4760">
            <w:pPr>
              <w:pStyle w:val="ListParagraph"/>
              <w:ind w:left="98"/>
              <w:rPr>
                <w:b/>
                <w:sz w:val="22"/>
                <w:szCs w:val="18"/>
              </w:rPr>
            </w:pPr>
            <w:r w:rsidRPr="005441DF">
              <w:rPr>
                <w:sz w:val="22"/>
                <w:szCs w:val="18"/>
              </w:rPr>
              <w:t xml:space="preserve">These leases have been negotiated by chartered surveyors in the Corporate Estates team, </w:t>
            </w:r>
            <w:r w:rsidR="00977377">
              <w:rPr>
                <w:sz w:val="22"/>
                <w:szCs w:val="18"/>
              </w:rPr>
              <w:t>as set out in</w:t>
            </w:r>
            <w:r w:rsidR="00D16979">
              <w:rPr>
                <w:sz w:val="22"/>
                <w:szCs w:val="18"/>
              </w:rPr>
              <w:t xml:space="preserve"> the exempt</w:t>
            </w:r>
            <w:r w:rsidR="00977377">
              <w:rPr>
                <w:sz w:val="22"/>
                <w:szCs w:val="18"/>
              </w:rPr>
              <w:t xml:space="preserve"> Appendix </w:t>
            </w:r>
            <w:r w:rsidR="008860CA">
              <w:rPr>
                <w:sz w:val="22"/>
                <w:szCs w:val="18"/>
              </w:rPr>
              <w:t>. They have</w:t>
            </w:r>
            <w:r w:rsidR="004E1401">
              <w:rPr>
                <w:sz w:val="22"/>
                <w:szCs w:val="18"/>
              </w:rPr>
              <w:t xml:space="preserve"> up to date </w:t>
            </w:r>
            <w:r w:rsidR="008860CA">
              <w:rPr>
                <w:sz w:val="22"/>
                <w:szCs w:val="18"/>
              </w:rPr>
              <w:t>knowledge of comparable transactions and wider market trends</w:t>
            </w:r>
            <w:r w:rsidR="004E1401">
              <w:rPr>
                <w:sz w:val="22"/>
                <w:szCs w:val="18"/>
              </w:rPr>
              <w:t xml:space="preserve"> in the commercial property market and are satisfied that the terms proposed are at the best rent reasonably obtainable. </w:t>
            </w: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0DAEE1C1" w14:textId="77777777" w:rsidR="00ED4760" w:rsidRPr="005441DF" w:rsidRDefault="00ED4760">
            <w:pPr>
              <w:rPr>
                <w:b/>
                <w:sz w:val="22"/>
                <w:szCs w:val="18"/>
              </w:rPr>
            </w:pPr>
            <w:r w:rsidRPr="005441DF">
              <w:rPr>
                <w:b/>
                <w:sz w:val="22"/>
                <w:szCs w:val="18"/>
              </w:rPr>
              <w:t>Green</w:t>
            </w:r>
          </w:p>
        </w:tc>
      </w:tr>
      <w:tr w:rsidR="00ED4760" w14:paraId="4F2E4AE2" w14:textId="77777777" w:rsidTr="00ED4760">
        <w:tc>
          <w:tcPr>
            <w:tcW w:w="2766" w:type="dxa"/>
            <w:tcBorders>
              <w:top w:val="single" w:sz="4" w:space="0" w:color="auto"/>
              <w:left w:val="single" w:sz="4" w:space="0" w:color="auto"/>
              <w:bottom w:val="single" w:sz="4" w:space="0" w:color="auto"/>
              <w:right w:val="single" w:sz="4" w:space="0" w:color="auto"/>
            </w:tcBorders>
            <w:hideMark/>
          </w:tcPr>
          <w:p w14:paraId="60FFD640" w14:textId="77777777" w:rsidR="00ED4760" w:rsidRPr="005441DF" w:rsidRDefault="00ED4760">
            <w:pPr>
              <w:rPr>
                <w:b/>
                <w:sz w:val="22"/>
                <w:szCs w:val="18"/>
              </w:rPr>
            </w:pPr>
            <w:r w:rsidRPr="005441DF">
              <w:rPr>
                <w:sz w:val="22"/>
                <w:szCs w:val="18"/>
              </w:rPr>
              <w:t>If these renewals do not take place, there will additional budgetary pressures.</w:t>
            </w:r>
          </w:p>
        </w:tc>
        <w:tc>
          <w:tcPr>
            <w:tcW w:w="2766" w:type="dxa"/>
            <w:tcBorders>
              <w:top w:val="single" w:sz="4" w:space="0" w:color="auto"/>
              <w:left w:val="single" w:sz="4" w:space="0" w:color="auto"/>
              <w:bottom w:val="single" w:sz="4" w:space="0" w:color="auto"/>
              <w:right w:val="single" w:sz="4" w:space="0" w:color="auto"/>
            </w:tcBorders>
          </w:tcPr>
          <w:p w14:paraId="51CB336F" w14:textId="77777777" w:rsidR="00ED4760" w:rsidRPr="005441DF" w:rsidRDefault="00ED4760">
            <w:pPr>
              <w:pStyle w:val="ListParagraph"/>
              <w:ind w:left="98"/>
              <w:rPr>
                <w:b/>
                <w:sz w:val="22"/>
                <w:szCs w:val="18"/>
              </w:rPr>
            </w:pPr>
            <w:r w:rsidRPr="005441DF">
              <w:rPr>
                <w:sz w:val="22"/>
                <w:szCs w:val="18"/>
              </w:rPr>
              <w:t xml:space="preserve">Rental income will contribute to income targets for the council’s commercial and investment properties and the expeditious completion of these leases will result in the newly negotiated uplifted rents being implemented. Therefore </w:t>
            </w:r>
            <w:r w:rsidRPr="005441DF">
              <w:rPr>
                <w:i/>
                <w:iCs/>
                <w:sz w:val="22"/>
                <w:szCs w:val="18"/>
              </w:rPr>
              <w:t>not</w:t>
            </w:r>
            <w:r w:rsidRPr="005441DF">
              <w:rPr>
                <w:sz w:val="22"/>
                <w:szCs w:val="18"/>
              </w:rPr>
              <w:t xml:space="preserve"> entering into these leases will create </w:t>
            </w:r>
            <w:r w:rsidRPr="005441DF">
              <w:rPr>
                <w:sz w:val="22"/>
                <w:szCs w:val="18"/>
              </w:rPr>
              <w:lastRenderedPageBreak/>
              <w:t xml:space="preserve">additional budgetary pressures. </w:t>
            </w:r>
          </w:p>
          <w:p w14:paraId="7B810F86" w14:textId="77777777" w:rsidR="00ED4760" w:rsidRPr="005441DF" w:rsidRDefault="00ED4760">
            <w:pPr>
              <w:ind w:left="-44"/>
              <w:rPr>
                <w:b/>
                <w:sz w:val="22"/>
                <w:szCs w:val="18"/>
              </w:rPr>
            </w:pPr>
          </w:p>
        </w:tc>
        <w:tc>
          <w:tcPr>
            <w:tcW w:w="2767" w:type="dxa"/>
            <w:tcBorders>
              <w:top w:val="single" w:sz="4" w:space="0" w:color="auto"/>
              <w:left w:val="single" w:sz="4" w:space="0" w:color="auto"/>
              <w:bottom w:val="single" w:sz="4" w:space="0" w:color="auto"/>
              <w:right w:val="single" w:sz="4" w:space="0" w:color="auto"/>
            </w:tcBorders>
            <w:shd w:val="clear" w:color="auto" w:fill="92D050"/>
            <w:hideMark/>
          </w:tcPr>
          <w:p w14:paraId="213D7E98" w14:textId="77777777" w:rsidR="00ED4760" w:rsidRPr="005441DF" w:rsidRDefault="00ED4760">
            <w:pPr>
              <w:rPr>
                <w:b/>
                <w:sz w:val="22"/>
                <w:szCs w:val="18"/>
              </w:rPr>
            </w:pPr>
            <w:r w:rsidRPr="005441DF">
              <w:rPr>
                <w:b/>
                <w:sz w:val="22"/>
                <w:szCs w:val="18"/>
              </w:rPr>
              <w:lastRenderedPageBreak/>
              <w:t>Green</w:t>
            </w:r>
          </w:p>
        </w:tc>
      </w:tr>
    </w:tbl>
    <w:bookmarkEnd w:id="0"/>
    <w:bookmarkEnd w:id="1"/>
    <w:bookmarkEnd w:id="2"/>
    <w:p w14:paraId="0249BBDB" w14:textId="02A38157" w:rsidR="002A3FEF" w:rsidRDefault="002A3FEF" w:rsidP="00A1211C">
      <w:pPr>
        <w:pStyle w:val="Heading3"/>
        <w:spacing w:before="480" w:after="240"/>
      </w:pPr>
      <w:r>
        <w:t>Procurement Implications</w:t>
      </w:r>
    </w:p>
    <w:p w14:paraId="536B438B" w14:textId="77777777" w:rsidR="00F90F96" w:rsidRPr="00F90F96" w:rsidRDefault="00F90F96" w:rsidP="00F90F96">
      <w:r w:rsidRPr="00F90F96">
        <w:t xml:space="preserve">Any purchase or sale of a property, interest in land, transaction in land and or lease transaction is excluded from the Contract Procedure Rules but must be authorised in accordance with the requirements set out in the Constitution and, specifically, </w:t>
      </w:r>
      <w:r w:rsidRPr="006906E6">
        <w:rPr>
          <w:i/>
          <w:iCs/>
        </w:rPr>
        <w:t>Land and Buildings</w:t>
      </w:r>
      <w:r w:rsidRPr="00F90F96">
        <w:t xml:space="preserve"> rules at paragraphs C83 to C85 and Section F </w:t>
      </w:r>
      <w:r w:rsidRPr="006906E6">
        <w:rPr>
          <w:i/>
          <w:iCs/>
        </w:rPr>
        <w:t>Land and Property Disposals</w:t>
      </w:r>
      <w:r w:rsidRPr="00F90F96">
        <w:t>.</w:t>
      </w:r>
    </w:p>
    <w:p w14:paraId="44413A6E" w14:textId="77777777" w:rsidR="00333FAA" w:rsidRDefault="00333FAA" w:rsidP="00A1211C">
      <w:pPr>
        <w:pStyle w:val="Heading3"/>
        <w:spacing w:before="480" w:after="240"/>
      </w:pPr>
      <w:r>
        <w:t>Legal Implications</w:t>
      </w:r>
    </w:p>
    <w:p w14:paraId="5BDE9A30" w14:textId="629733A8" w:rsidR="00A1211C" w:rsidRPr="008A5F3F" w:rsidRDefault="00D35DDD" w:rsidP="00A1211C">
      <w:pPr>
        <w:rPr>
          <w:color w:val="0000FF"/>
        </w:rPr>
      </w:pPr>
      <w:r w:rsidRPr="0007297E">
        <w:t>The Council is authorised to make disposals</w:t>
      </w:r>
      <w:r w:rsidR="00FA5C3D">
        <w:t xml:space="preserve"> at the best consideration reasonably obtainable</w:t>
      </w:r>
      <w:r w:rsidRPr="0007297E">
        <w:t xml:space="preserve"> pursuant to s.123 of the Local Government Act 1972</w:t>
      </w:r>
      <w:r w:rsidR="008A5F3F">
        <w:t xml:space="preserve">. This power is given to Local Authorities to dispose of land in any manner they wish, including </w:t>
      </w:r>
      <w:r w:rsidR="00927464">
        <w:t xml:space="preserve">the </w:t>
      </w:r>
      <w:r w:rsidR="008A5F3F">
        <w:t>sale of their freehold interest</w:t>
      </w:r>
      <w:r w:rsidR="00DF4103">
        <w:t>s and the granting of leases</w:t>
      </w:r>
      <w:r w:rsidR="008A5F3F">
        <w:t>. The only constraint is that a disposal must be for the best consideration reasonably obtainable</w:t>
      </w:r>
      <w:r w:rsidR="008A5F3F" w:rsidRPr="008A5F3F">
        <w:t xml:space="preserve"> </w:t>
      </w:r>
      <w:r w:rsidR="008A5F3F">
        <w:t>(except in the case of short tenancies)</w:t>
      </w:r>
      <w:r w:rsidR="00C03D13">
        <w:t>.</w:t>
      </w:r>
      <w:r w:rsidR="006906E6">
        <w:t xml:space="preserve"> </w:t>
      </w:r>
      <w:r w:rsidR="00C03D13">
        <w:t xml:space="preserve">A disposal at an undervalue requires </w:t>
      </w:r>
      <w:r w:rsidR="008A5F3F">
        <w:t>the Secretary of State consents to the disposal (section 123, LGA 1972)</w:t>
      </w:r>
      <w:r w:rsidR="00927464">
        <w:t>.</w:t>
      </w:r>
    </w:p>
    <w:p w14:paraId="11F2AC04" w14:textId="1DB1AF4F" w:rsidR="00333FAA" w:rsidRDefault="00333FAA" w:rsidP="00A1211C">
      <w:pPr>
        <w:pStyle w:val="Heading3"/>
        <w:spacing w:before="480" w:after="240"/>
      </w:pPr>
      <w:r>
        <w:t xml:space="preserve">Financial </w:t>
      </w:r>
      <w:r w:rsidR="0056566B">
        <w:t>Implications</w:t>
      </w:r>
    </w:p>
    <w:p w14:paraId="5B2D80FC" w14:textId="799A0799" w:rsidR="00025C1C" w:rsidRPr="0069132F" w:rsidRDefault="00025C1C" w:rsidP="00025C1C">
      <w:pPr>
        <w:tabs>
          <w:tab w:val="left" w:pos="5610"/>
        </w:tabs>
        <w:ind w:right="81"/>
        <w:rPr>
          <w:sz w:val="22"/>
          <w:szCs w:val="22"/>
        </w:rPr>
      </w:pPr>
      <w:r>
        <w:t xml:space="preserve">Corporate Estates manages all leases across the corporate and investment property </w:t>
      </w:r>
      <w:r w:rsidR="00721D48">
        <w:t>portfolio and</w:t>
      </w:r>
      <w:r>
        <w:t xml:space="preserve"> has a total income target of £4.9m for rent generated from commercial lettings. </w:t>
      </w:r>
      <w:r w:rsidR="00D16979">
        <w:t>The e</w:t>
      </w:r>
      <w:r>
        <w:t>xempt Appendix sets out</w:t>
      </w:r>
      <w:r w:rsidR="00D16979">
        <w:t xml:space="preserve"> the nine</w:t>
      </w:r>
      <w:r>
        <w:t xml:space="preserve"> lease renewals and new leases over £250k due in the next two financial years. The renewals will continue to generate income to contribute to the income targets. The new lettings will provide additional income which can be used to address the budget pressure currently reported within the investment property portfolio due to vacant space.  </w:t>
      </w:r>
      <w:r w:rsidRPr="0007297E">
        <w:t>There is no reason not to enter into these leases which have been negotiated by chartered surveyors in the Corporate Estates team, who are satisfied that market value has been achieved in each case.</w:t>
      </w:r>
      <w:r>
        <w:rPr>
          <w:color w:val="282828"/>
          <w:w w:val="105"/>
          <w:sz w:val="22"/>
          <w:szCs w:val="22"/>
        </w:rPr>
        <w:t xml:space="preserve"> </w:t>
      </w:r>
    </w:p>
    <w:p w14:paraId="7B4B35B8" w14:textId="77777777" w:rsidR="00A1211C" w:rsidRDefault="00A1211C" w:rsidP="0054590F"/>
    <w:p w14:paraId="5514D939" w14:textId="77777777" w:rsidR="00333FAA" w:rsidRDefault="00333FAA" w:rsidP="000B7C66">
      <w:pPr>
        <w:pStyle w:val="Heading2"/>
        <w:spacing w:before="480" w:after="240"/>
      </w:pPr>
      <w:bookmarkStart w:id="3" w:name="_Hlk117603704"/>
      <w:r>
        <w:t>Section 3 - Statutory Officer Clearance</w:t>
      </w:r>
    </w:p>
    <w:bookmarkEnd w:id="3"/>
    <w:p w14:paraId="3B5D52F9" w14:textId="1621FCC3" w:rsidR="00A66326" w:rsidRPr="00A66326" w:rsidRDefault="00A66326" w:rsidP="00A66326">
      <w:pPr>
        <w:rPr>
          <w:sz w:val="28"/>
        </w:rPr>
      </w:pPr>
      <w:r w:rsidRPr="00A66326">
        <w:rPr>
          <w:b/>
          <w:sz w:val="28"/>
        </w:rPr>
        <w:t xml:space="preserve">Statutory Officer:  </w:t>
      </w:r>
      <w:r w:rsidR="00721D48">
        <w:rPr>
          <w:b/>
          <w:sz w:val="28"/>
        </w:rPr>
        <w:t>Jessie Man</w:t>
      </w:r>
    </w:p>
    <w:p w14:paraId="06450070" w14:textId="15D4F0F0" w:rsidR="00A66326" w:rsidRPr="006906E6" w:rsidRDefault="00A66326" w:rsidP="00A66326">
      <w:r w:rsidRPr="006906E6">
        <w:t>Signed on behalf of Chief Financial Officer</w:t>
      </w:r>
    </w:p>
    <w:p w14:paraId="555021EF" w14:textId="7D626A5D" w:rsidR="00A66326" w:rsidRPr="006906E6" w:rsidRDefault="00A66326" w:rsidP="00A66326">
      <w:pPr>
        <w:spacing w:after="480"/>
        <w:rPr>
          <w:sz w:val="28"/>
        </w:rPr>
      </w:pPr>
      <w:r w:rsidRPr="006906E6">
        <w:rPr>
          <w:b/>
          <w:sz w:val="28"/>
        </w:rPr>
        <w:t xml:space="preserve">Date:  </w:t>
      </w:r>
      <w:r w:rsidR="0056566B" w:rsidRPr="006906E6">
        <w:rPr>
          <w:b/>
          <w:sz w:val="28"/>
        </w:rPr>
        <w:t>4.11.22</w:t>
      </w:r>
    </w:p>
    <w:p w14:paraId="7E329E85" w14:textId="6EA2BDF7" w:rsidR="00A66326" w:rsidRPr="006906E6" w:rsidRDefault="00A66326" w:rsidP="00A66326">
      <w:pPr>
        <w:rPr>
          <w:sz w:val="28"/>
        </w:rPr>
      </w:pPr>
      <w:r w:rsidRPr="006906E6">
        <w:rPr>
          <w:b/>
          <w:sz w:val="28"/>
        </w:rPr>
        <w:t xml:space="preserve">Statutory Officer:  </w:t>
      </w:r>
      <w:r w:rsidR="00721D48">
        <w:rPr>
          <w:b/>
          <w:sz w:val="28"/>
        </w:rPr>
        <w:t>Amanpreet Lally</w:t>
      </w:r>
    </w:p>
    <w:p w14:paraId="76F84634" w14:textId="3EBFE4A1" w:rsidR="00A66326" w:rsidRPr="006906E6" w:rsidRDefault="00A66326" w:rsidP="00A66326">
      <w:r w:rsidRPr="006906E6">
        <w:t>Signed on behalf of the Monitoring Officer</w:t>
      </w:r>
    </w:p>
    <w:p w14:paraId="1AC0D358" w14:textId="676A5FB1" w:rsidR="00A66326" w:rsidRPr="006906E6" w:rsidRDefault="00A66326" w:rsidP="00A66326">
      <w:pPr>
        <w:spacing w:after="480"/>
        <w:rPr>
          <w:sz w:val="28"/>
        </w:rPr>
      </w:pPr>
      <w:r w:rsidRPr="006906E6">
        <w:rPr>
          <w:b/>
          <w:sz w:val="28"/>
        </w:rPr>
        <w:t xml:space="preserve">Date:  </w:t>
      </w:r>
      <w:r w:rsidR="00884DFF">
        <w:rPr>
          <w:b/>
          <w:sz w:val="28"/>
        </w:rPr>
        <w:t>4.11.22</w:t>
      </w:r>
    </w:p>
    <w:p w14:paraId="31D8FA55" w14:textId="03CF7510" w:rsidR="00BF5AFA" w:rsidRPr="006906E6" w:rsidRDefault="00BF5AFA" w:rsidP="00BF5AFA">
      <w:pPr>
        <w:rPr>
          <w:sz w:val="28"/>
        </w:rPr>
      </w:pPr>
      <w:r w:rsidRPr="006906E6">
        <w:rPr>
          <w:b/>
          <w:sz w:val="28"/>
        </w:rPr>
        <w:lastRenderedPageBreak/>
        <w:t xml:space="preserve">Chief Officer:  </w:t>
      </w:r>
      <w:r w:rsidR="00721D48">
        <w:rPr>
          <w:b/>
          <w:sz w:val="28"/>
        </w:rPr>
        <w:t>Dipti Patel</w:t>
      </w:r>
    </w:p>
    <w:p w14:paraId="6C086558" w14:textId="72386714" w:rsidR="00BF5AFA" w:rsidRPr="006906E6" w:rsidRDefault="00BF5AFA" w:rsidP="00BF5AFA">
      <w:r w:rsidRPr="006906E6">
        <w:t>Signed by the Corporate Director</w:t>
      </w:r>
    </w:p>
    <w:p w14:paraId="5F67CDF0" w14:textId="04F87C06" w:rsidR="00BF5AFA" w:rsidRPr="006906E6" w:rsidRDefault="00BF5AFA" w:rsidP="00BF5AFA">
      <w:pPr>
        <w:spacing w:after="480"/>
        <w:rPr>
          <w:sz w:val="28"/>
        </w:rPr>
      </w:pPr>
      <w:r w:rsidRPr="006906E6">
        <w:rPr>
          <w:b/>
          <w:sz w:val="28"/>
        </w:rPr>
        <w:t xml:space="preserve">Date:  </w:t>
      </w:r>
      <w:r w:rsidR="00E53613">
        <w:rPr>
          <w:b/>
          <w:sz w:val="28"/>
        </w:rPr>
        <w:t>8.11.22</w:t>
      </w:r>
    </w:p>
    <w:p w14:paraId="2C546334" w14:textId="290F62B2" w:rsidR="00BF5AFA" w:rsidRPr="006906E6" w:rsidRDefault="00BF5AFA" w:rsidP="00BF5AFA">
      <w:pPr>
        <w:rPr>
          <w:sz w:val="28"/>
        </w:rPr>
      </w:pPr>
      <w:r w:rsidRPr="006906E6">
        <w:rPr>
          <w:b/>
          <w:sz w:val="28"/>
        </w:rPr>
        <w:t xml:space="preserve">Head of Procurement: </w:t>
      </w:r>
      <w:r w:rsidR="00721D48">
        <w:rPr>
          <w:b/>
          <w:sz w:val="28"/>
        </w:rPr>
        <w:t>Nimesh Mehta</w:t>
      </w:r>
      <w:r w:rsidRPr="006906E6">
        <w:rPr>
          <w:b/>
          <w:sz w:val="28"/>
        </w:rPr>
        <w:t xml:space="preserve"> </w:t>
      </w:r>
    </w:p>
    <w:p w14:paraId="3C6E94C3" w14:textId="131A4792" w:rsidR="00BF5AFA" w:rsidRPr="006906E6" w:rsidRDefault="00BF5AFA" w:rsidP="00BF5AFA">
      <w:r w:rsidRPr="006906E6">
        <w:t>Signed by the Head of Procurement</w:t>
      </w:r>
    </w:p>
    <w:p w14:paraId="5A683B65" w14:textId="3640FCC4" w:rsidR="00BF5AFA" w:rsidRPr="006906E6" w:rsidRDefault="00BF5AFA" w:rsidP="00BF5AFA">
      <w:pPr>
        <w:spacing w:after="480"/>
        <w:rPr>
          <w:sz w:val="28"/>
        </w:rPr>
      </w:pPr>
      <w:r w:rsidRPr="006906E6">
        <w:rPr>
          <w:b/>
          <w:sz w:val="28"/>
        </w:rPr>
        <w:t xml:space="preserve">Date:  </w:t>
      </w:r>
      <w:r w:rsidR="00F44A2F" w:rsidRPr="006906E6">
        <w:rPr>
          <w:b/>
          <w:sz w:val="28"/>
        </w:rPr>
        <w:t>4.11.2022</w:t>
      </w:r>
    </w:p>
    <w:p w14:paraId="113297A5" w14:textId="130A7F1F" w:rsidR="00BF5AFA" w:rsidRPr="006906E6" w:rsidRDefault="00BF5AFA" w:rsidP="00BF5AFA">
      <w:pPr>
        <w:rPr>
          <w:sz w:val="28"/>
        </w:rPr>
      </w:pPr>
      <w:r w:rsidRPr="006906E6">
        <w:rPr>
          <w:b/>
          <w:sz w:val="28"/>
        </w:rPr>
        <w:t xml:space="preserve">Head of Internal Audit:  </w:t>
      </w:r>
      <w:r w:rsidR="00721D48">
        <w:rPr>
          <w:b/>
          <w:sz w:val="28"/>
        </w:rPr>
        <w:t>Susan Dixson</w:t>
      </w:r>
    </w:p>
    <w:p w14:paraId="5CF04A24" w14:textId="1375390C" w:rsidR="00BF5AFA" w:rsidRPr="006906E6" w:rsidRDefault="00BF5AFA" w:rsidP="00BF5AFA">
      <w:r w:rsidRPr="006906E6">
        <w:t>Signed by the Head of Internal Audit</w:t>
      </w:r>
    </w:p>
    <w:p w14:paraId="065BF29C" w14:textId="1225CE84" w:rsidR="00BF5AFA" w:rsidRPr="006906E6" w:rsidRDefault="00BF5AFA" w:rsidP="006906E6">
      <w:pPr>
        <w:spacing w:after="480"/>
        <w:rPr>
          <w:b/>
          <w:sz w:val="28"/>
        </w:rPr>
      </w:pPr>
      <w:r w:rsidRPr="006906E6">
        <w:rPr>
          <w:b/>
          <w:sz w:val="28"/>
        </w:rPr>
        <w:t>Date:</w:t>
      </w:r>
      <w:r w:rsidR="00F44A2F" w:rsidRPr="006906E6">
        <w:rPr>
          <w:b/>
          <w:sz w:val="28"/>
        </w:rPr>
        <w:t xml:space="preserve"> 4.11.2022</w:t>
      </w:r>
    </w:p>
    <w:p w14:paraId="45A19EC7" w14:textId="59434FDF" w:rsidR="003313EA" w:rsidRPr="00435B5D" w:rsidRDefault="003313EA" w:rsidP="00BF5AFA">
      <w:pPr>
        <w:pStyle w:val="Heading2"/>
        <w:spacing w:before="480" w:after="240"/>
      </w:pPr>
      <w:r w:rsidRPr="00927464">
        <w:t>Mandato</w:t>
      </w:r>
      <w:r>
        <w:t>ry Checks</w:t>
      </w:r>
    </w:p>
    <w:p w14:paraId="64551188" w14:textId="3DCF4D94" w:rsidR="003313EA" w:rsidRPr="00927464" w:rsidRDefault="003313EA" w:rsidP="003313EA">
      <w:pPr>
        <w:pStyle w:val="Heading3"/>
        <w:ind w:left="0" w:firstLine="0"/>
        <w:jc w:val="left"/>
        <w:rPr>
          <w:rFonts w:cs="Times New Roman"/>
          <w:b w:val="0"/>
          <w:bCs w:val="0"/>
          <w:color w:val="2B2B2B"/>
          <w:sz w:val="24"/>
          <w:szCs w:val="20"/>
        </w:rPr>
      </w:pPr>
      <w:r w:rsidRPr="003313EA">
        <w:t xml:space="preserve">Ward Councillors </w:t>
      </w:r>
      <w:r>
        <w:t xml:space="preserve">notified:  </w:t>
      </w:r>
      <w:r w:rsidRPr="00A406F3">
        <w:t>NO</w:t>
      </w:r>
      <w:r w:rsidRPr="00333FAA">
        <w:t xml:space="preserve">, </w:t>
      </w:r>
      <w:r w:rsidRPr="00927464">
        <w:rPr>
          <w:rFonts w:cs="Times New Roman"/>
          <w:b w:val="0"/>
          <w:bCs w:val="0"/>
          <w:color w:val="2B2B2B"/>
          <w:sz w:val="24"/>
          <w:szCs w:val="20"/>
        </w:rPr>
        <w:t xml:space="preserve">as it impacts on all Wards </w:t>
      </w:r>
    </w:p>
    <w:p w14:paraId="2A2D9472" w14:textId="17E505E3" w:rsidR="003313EA" w:rsidRPr="00202D79" w:rsidRDefault="003313EA" w:rsidP="003313EA">
      <w:pPr>
        <w:pStyle w:val="Heading3"/>
        <w:spacing w:before="240"/>
        <w:rPr>
          <w:b w:val="0"/>
        </w:rPr>
      </w:pPr>
      <w:r w:rsidRPr="00202D79">
        <w:t>EqIA carried out:</w:t>
      </w:r>
      <w:r>
        <w:t xml:space="preserve">  </w:t>
      </w:r>
      <w:r w:rsidRPr="00202D79">
        <w:t>NO</w:t>
      </w:r>
    </w:p>
    <w:p w14:paraId="1DFAAD5F" w14:textId="77777777" w:rsidR="006906E6" w:rsidRDefault="006906E6" w:rsidP="008A5F3F">
      <w:pPr>
        <w:tabs>
          <w:tab w:val="left" w:pos="5610"/>
        </w:tabs>
        <w:ind w:right="81"/>
        <w:rPr>
          <w:color w:val="2B2B2B"/>
        </w:rPr>
      </w:pPr>
    </w:p>
    <w:p w14:paraId="236800AD" w14:textId="09B27337" w:rsidR="008A5F3F" w:rsidRPr="0069132F" w:rsidRDefault="008A5F3F" w:rsidP="008A5F3F">
      <w:pPr>
        <w:tabs>
          <w:tab w:val="left" w:pos="5610"/>
        </w:tabs>
        <w:ind w:right="81"/>
      </w:pPr>
      <w:r w:rsidRPr="0069132F">
        <w:rPr>
          <w:color w:val="2B2B2B"/>
        </w:rPr>
        <w:t>There are considered to be no equalities implications resulting from this report's proposals.</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66F1332" w:rsidR="00333FAA" w:rsidRPr="005808FB" w:rsidRDefault="00333FAA" w:rsidP="00CC18AC">
      <w:pPr>
        <w:pStyle w:val="Infotext"/>
        <w:spacing w:after="240"/>
        <w:rPr>
          <w:color w:val="FF0000"/>
        </w:rPr>
      </w:pPr>
      <w:r w:rsidRPr="004E47FC">
        <w:rPr>
          <w:b/>
        </w:rPr>
        <w:t xml:space="preserve">Contact:  </w:t>
      </w:r>
      <w:r w:rsidR="00AB6200" w:rsidRPr="00AB6200">
        <w:rPr>
          <w:color w:val="2B2B2B"/>
          <w:sz w:val="24"/>
        </w:rPr>
        <w:t xml:space="preserve">Sophie Linton MA MRICS, Service Manager – Estates, </w:t>
      </w:r>
      <w:hyperlink r:id="rId13" w:history="1">
        <w:r w:rsidR="00721D48" w:rsidRPr="00816585">
          <w:rPr>
            <w:rStyle w:val="Hyperlink"/>
            <w:sz w:val="24"/>
          </w:rPr>
          <w:t>sophie.linton@harrow.gov.uk</w:t>
        </w:r>
      </w:hyperlink>
      <w:r w:rsidR="00721D48">
        <w:rPr>
          <w:color w:val="2B2B2B"/>
          <w:sz w:val="24"/>
        </w:rPr>
        <w:t xml:space="preserve"> </w:t>
      </w:r>
    </w:p>
    <w:p w14:paraId="77C58D4B" w14:textId="19F9D4B7" w:rsidR="00333FAA" w:rsidRDefault="00333FAA" w:rsidP="00CC18AC">
      <w:pPr>
        <w:pStyle w:val="Infotext"/>
        <w:spacing w:after="240"/>
        <w:rPr>
          <w:b/>
        </w:rPr>
      </w:pPr>
      <w:r w:rsidRPr="004E47FC">
        <w:rPr>
          <w:b/>
        </w:rPr>
        <w:t xml:space="preserve">Background Papers: </w:t>
      </w:r>
      <w:r w:rsidR="00721D48" w:rsidRPr="00721D48">
        <w:rPr>
          <w:bCs/>
        </w:rPr>
        <w:t>None</w:t>
      </w:r>
    </w:p>
    <w:p w14:paraId="17CDBD67" w14:textId="17417F9A" w:rsidR="00721D48" w:rsidRPr="00721D48" w:rsidRDefault="00842757" w:rsidP="00721D48">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21D48">
        <w:rPr>
          <w:rFonts w:ascii="Arial Black" w:hAnsi="Arial Black"/>
        </w:rPr>
        <w:t xml:space="preserve"> - </w:t>
      </w:r>
      <w:r w:rsidRPr="003D78F6">
        <w:rPr>
          <w:b/>
        </w:rPr>
        <w:t>NO</w:t>
      </w:r>
    </w:p>
    <w:p w14:paraId="3CCA5C3B" w14:textId="56E12CE3" w:rsidR="000D4E36" w:rsidRDefault="00842757" w:rsidP="00ED6776">
      <w:pPr>
        <w:pStyle w:val="Infotext"/>
        <w:tabs>
          <w:tab w:val="left" w:pos="3768"/>
          <w:tab w:val="left" w:pos="4315"/>
        </w:tabs>
        <w:rPr>
          <w:rFonts w:cs="Arial"/>
          <w:i/>
          <w:color w:val="FF0000"/>
          <w:sz w:val="24"/>
          <w:szCs w:val="24"/>
          <w:lang w:eastAsia="en-GB"/>
        </w:rPr>
      </w:pPr>
      <w:r w:rsidRPr="0017653E">
        <w:rPr>
          <w:rFonts w:cs="Arial"/>
          <w:i/>
          <w:color w:val="FF0000"/>
          <w:sz w:val="24"/>
          <w:szCs w:val="24"/>
          <w:lang w:eastAsia="en-GB"/>
        </w:rPr>
        <w:t>.</w:t>
      </w:r>
    </w:p>
    <w:p w14:paraId="3973142F" w14:textId="0EDA19B5" w:rsidR="00EF4106" w:rsidRDefault="00EF4106" w:rsidP="00ED6776">
      <w:pPr>
        <w:pStyle w:val="Infotext"/>
        <w:tabs>
          <w:tab w:val="left" w:pos="3768"/>
          <w:tab w:val="left" w:pos="4315"/>
        </w:tabs>
        <w:rPr>
          <w:rFonts w:cs="Arial"/>
          <w:i/>
          <w:color w:val="FF0000"/>
          <w:sz w:val="24"/>
          <w:szCs w:val="24"/>
          <w:lang w:eastAsia="en-GB"/>
        </w:rPr>
      </w:pPr>
    </w:p>
    <w:p w14:paraId="23C13F03" w14:textId="7F98D94C" w:rsidR="00EF4106" w:rsidRDefault="00EF4106" w:rsidP="00ED6776">
      <w:pPr>
        <w:pStyle w:val="Infotext"/>
        <w:tabs>
          <w:tab w:val="left" w:pos="3768"/>
          <w:tab w:val="left" w:pos="4315"/>
        </w:tabs>
        <w:rPr>
          <w:rFonts w:cs="Arial"/>
          <w:i/>
          <w:color w:val="FF0000"/>
          <w:sz w:val="24"/>
          <w:szCs w:val="24"/>
          <w:lang w:eastAsia="en-GB"/>
        </w:rPr>
      </w:pPr>
    </w:p>
    <w:sectPr w:rsidR="00EF410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31BF" w14:textId="77777777" w:rsidR="002E00C4" w:rsidRDefault="002E00C4">
      <w:r>
        <w:separator/>
      </w:r>
    </w:p>
  </w:endnote>
  <w:endnote w:type="continuationSeparator" w:id="0">
    <w:p w14:paraId="7319C126" w14:textId="77777777" w:rsidR="002E00C4" w:rsidRDefault="002E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E20D" w14:textId="77777777" w:rsidR="002E00C4" w:rsidRDefault="002E00C4">
      <w:r>
        <w:separator/>
      </w:r>
    </w:p>
  </w:footnote>
  <w:footnote w:type="continuationSeparator" w:id="0">
    <w:p w14:paraId="31AE81F5" w14:textId="77777777" w:rsidR="002E00C4" w:rsidRDefault="002E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3"/>
  </w:num>
  <w:num w:numId="5">
    <w:abstractNumId w:val="39"/>
  </w:num>
  <w:num w:numId="6">
    <w:abstractNumId w:val="17"/>
  </w:num>
  <w:num w:numId="7">
    <w:abstractNumId w:val="1"/>
  </w:num>
  <w:num w:numId="8">
    <w:abstractNumId w:val="23"/>
  </w:num>
  <w:num w:numId="9">
    <w:abstractNumId w:val="24"/>
  </w:num>
  <w:num w:numId="10">
    <w:abstractNumId w:val="42"/>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5"/>
  </w:num>
  <w:num w:numId="18">
    <w:abstractNumId w:val="19"/>
  </w:num>
  <w:num w:numId="19">
    <w:abstractNumId w:val="41"/>
  </w:num>
  <w:num w:numId="20">
    <w:abstractNumId w:val="5"/>
  </w:num>
  <w:num w:numId="21">
    <w:abstractNumId w:val="0"/>
  </w:num>
  <w:num w:numId="22">
    <w:abstractNumId w:val="6"/>
  </w:num>
  <w:num w:numId="23">
    <w:abstractNumId w:val="28"/>
  </w:num>
  <w:num w:numId="24">
    <w:abstractNumId w:val="8"/>
  </w:num>
  <w:num w:numId="25">
    <w:abstractNumId w:val="25"/>
  </w:num>
  <w:num w:numId="26">
    <w:abstractNumId w:val="29"/>
  </w:num>
  <w:num w:numId="27">
    <w:abstractNumId w:val="30"/>
  </w:num>
  <w:num w:numId="28">
    <w:abstractNumId w:val="11"/>
  </w:num>
  <w:num w:numId="29">
    <w:abstractNumId w:val="38"/>
  </w:num>
  <w:num w:numId="30">
    <w:abstractNumId w:val="10"/>
  </w:num>
  <w:num w:numId="31">
    <w:abstractNumId w:val="31"/>
  </w:num>
  <w:num w:numId="32">
    <w:abstractNumId w:val="34"/>
  </w:num>
  <w:num w:numId="33">
    <w:abstractNumId w:val="36"/>
  </w:num>
  <w:num w:numId="34">
    <w:abstractNumId w:val="9"/>
  </w:num>
  <w:num w:numId="35">
    <w:abstractNumId w:val="26"/>
  </w:num>
  <w:num w:numId="36">
    <w:abstractNumId w:val="3"/>
  </w:num>
  <w:num w:numId="37">
    <w:abstractNumId w:val="20"/>
  </w:num>
  <w:num w:numId="38">
    <w:abstractNumId w:val="44"/>
  </w:num>
  <w:num w:numId="39">
    <w:abstractNumId w:val="7"/>
  </w:num>
  <w:num w:numId="40">
    <w:abstractNumId w:val="4"/>
  </w:num>
  <w:num w:numId="41">
    <w:abstractNumId w:val="37"/>
  </w:num>
  <w:num w:numId="42">
    <w:abstractNumId w:val="45"/>
  </w:num>
  <w:num w:numId="43">
    <w:abstractNumId w:val="33"/>
  </w:num>
  <w:num w:numId="44">
    <w:abstractNumId w:val="2"/>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4E8A"/>
    <w:rsid w:val="00025C1C"/>
    <w:rsid w:val="0004029A"/>
    <w:rsid w:val="000474E3"/>
    <w:rsid w:val="0006034E"/>
    <w:rsid w:val="00063783"/>
    <w:rsid w:val="00073765"/>
    <w:rsid w:val="000929A6"/>
    <w:rsid w:val="00095FA1"/>
    <w:rsid w:val="000B5015"/>
    <w:rsid w:val="000B788F"/>
    <w:rsid w:val="000B7C66"/>
    <w:rsid w:val="000C634F"/>
    <w:rsid w:val="000D4E36"/>
    <w:rsid w:val="000E62FE"/>
    <w:rsid w:val="000E754A"/>
    <w:rsid w:val="00105B8A"/>
    <w:rsid w:val="001161E4"/>
    <w:rsid w:val="00125A26"/>
    <w:rsid w:val="00141A68"/>
    <w:rsid w:val="00143C89"/>
    <w:rsid w:val="001472A8"/>
    <w:rsid w:val="00151068"/>
    <w:rsid w:val="0015376F"/>
    <w:rsid w:val="001614E0"/>
    <w:rsid w:val="00171BD8"/>
    <w:rsid w:val="0017653E"/>
    <w:rsid w:val="00182B01"/>
    <w:rsid w:val="001840D2"/>
    <w:rsid w:val="00186920"/>
    <w:rsid w:val="001966D7"/>
    <w:rsid w:val="001C4D2E"/>
    <w:rsid w:val="001C7E35"/>
    <w:rsid w:val="001D3ADD"/>
    <w:rsid w:val="001E3C06"/>
    <w:rsid w:val="001F0037"/>
    <w:rsid w:val="001F0BE9"/>
    <w:rsid w:val="00202D79"/>
    <w:rsid w:val="00205D2F"/>
    <w:rsid w:val="00215E8F"/>
    <w:rsid w:val="00221A93"/>
    <w:rsid w:val="002322BB"/>
    <w:rsid w:val="0023696E"/>
    <w:rsid w:val="00251254"/>
    <w:rsid w:val="002548D1"/>
    <w:rsid w:val="0027283B"/>
    <w:rsid w:val="0028019B"/>
    <w:rsid w:val="00282E73"/>
    <w:rsid w:val="00283CAB"/>
    <w:rsid w:val="0028525A"/>
    <w:rsid w:val="00292CC1"/>
    <w:rsid w:val="002A3FEF"/>
    <w:rsid w:val="002B54A6"/>
    <w:rsid w:val="002B7009"/>
    <w:rsid w:val="002E00C4"/>
    <w:rsid w:val="002F3EE9"/>
    <w:rsid w:val="00307F76"/>
    <w:rsid w:val="00321FBB"/>
    <w:rsid w:val="00330832"/>
    <w:rsid w:val="003313EA"/>
    <w:rsid w:val="00333FAA"/>
    <w:rsid w:val="003355D7"/>
    <w:rsid w:val="0036201C"/>
    <w:rsid w:val="00370C78"/>
    <w:rsid w:val="0037324D"/>
    <w:rsid w:val="00376768"/>
    <w:rsid w:val="00380F87"/>
    <w:rsid w:val="003C270D"/>
    <w:rsid w:val="003F200F"/>
    <w:rsid w:val="003F3AFD"/>
    <w:rsid w:val="004076C8"/>
    <w:rsid w:val="004207E3"/>
    <w:rsid w:val="00421A4C"/>
    <w:rsid w:val="004238C2"/>
    <w:rsid w:val="00424B3E"/>
    <w:rsid w:val="00435B5D"/>
    <w:rsid w:val="004363F7"/>
    <w:rsid w:val="0044525C"/>
    <w:rsid w:val="004553F1"/>
    <w:rsid w:val="00471C1F"/>
    <w:rsid w:val="004809FA"/>
    <w:rsid w:val="004916DB"/>
    <w:rsid w:val="004C2D09"/>
    <w:rsid w:val="004C4A75"/>
    <w:rsid w:val="004D2DA0"/>
    <w:rsid w:val="004E1401"/>
    <w:rsid w:val="004E14A4"/>
    <w:rsid w:val="004F54BD"/>
    <w:rsid w:val="004F56C5"/>
    <w:rsid w:val="0050287C"/>
    <w:rsid w:val="00506185"/>
    <w:rsid w:val="005354D0"/>
    <w:rsid w:val="0054172C"/>
    <w:rsid w:val="005441DF"/>
    <w:rsid w:val="0054590F"/>
    <w:rsid w:val="005459EC"/>
    <w:rsid w:val="00563EA4"/>
    <w:rsid w:val="0056566B"/>
    <w:rsid w:val="005718B5"/>
    <w:rsid w:val="005808FB"/>
    <w:rsid w:val="005811F8"/>
    <w:rsid w:val="00582605"/>
    <w:rsid w:val="00591016"/>
    <w:rsid w:val="00596D49"/>
    <w:rsid w:val="005B3F67"/>
    <w:rsid w:val="005D548F"/>
    <w:rsid w:val="005D6EF5"/>
    <w:rsid w:val="005E18F4"/>
    <w:rsid w:val="005E3A10"/>
    <w:rsid w:val="005E7509"/>
    <w:rsid w:val="00601D7F"/>
    <w:rsid w:val="00605A4C"/>
    <w:rsid w:val="006450DA"/>
    <w:rsid w:val="00645B8B"/>
    <w:rsid w:val="00655044"/>
    <w:rsid w:val="00666922"/>
    <w:rsid w:val="00670F17"/>
    <w:rsid w:val="006710C7"/>
    <w:rsid w:val="00677F71"/>
    <w:rsid w:val="0068127E"/>
    <w:rsid w:val="006906E6"/>
    <w:rsid w:val="00696A83"/>
    <w:rsid w:val="006C580A"/>
    <w:rsid w:val="006D1E69"/>
    <w:rsid w:val="006E13D0"/>
    <w:rsid w:val="006F057C"/>
    <w:rsid w:val="006F22DA"/>
    <w:rsid w:val="006F2EB3"/>
    <w:rsid w:val="007116B1"/>
    <w:rsid w:val="00714BEE"/>
    <w:rsid w:val="00721215"/>
    <w:rsid w:val="00721D48"/>
    <w:rsid w:val="007400CF"/>
    <w:rsid w:val="007B23FC"/>
    <w:rsid w:val="007D0C1D"/>
    <w:rsid w:val="007D0D24"/>
    <w:rsid w:val="007D2000"/>
    <w:rsid w:val="007D4DBF"/>
    <w:rsid w:val="007E4732"/>
    <w:rsid w:val="007E4BA4"/>
    <w:rsid w:val="007F004E"/>
    <w:rsid w:val="007F335A"/>
    <w:rsid w:val="00803104"/>
    <w:rsid w:val="00812901"/>
    <w:rsid w:val="00826B9A"/>
    <w:rsid w:val="00842757"/>
    <w:rsid w:val="00843CC2"/>
    <w:rsid w:val="0085266D"/>
    <w:rsid w:val="00884DFF"/>
    <w:rsid w:val="008860CA"/>
    <w:rsid w:val="0089377D"/>
    <w:rsid w:val="008A5AA0"/>
    <w:rsid w:val="008A5F3F"/>
    <w:rsid w:val="008E224D"/>
    <w:rsid w:val="00910110"/>
    <w:rsid w:val="0092530B"/>
    <w:rsid w:val="00927464"/>
    <w:rsid w:val="00931000"/>
    <w:rsid w:val="009341A6"/>
    <w:rsid w:val="0094208C"/>
    <w:rsid w:val="00942F17"/>
    <w:rsid w:val="00943236"/>
    <w:rsid w:val="00952CEF"/>
    <w:rsid w:val="00955421"/>
    <w:rsid w:val="00977257"/>
    <w:rsid w:val="00977377"/>
    <w:rsid w:val="00990E9C"/>
    <w:rsid w:val="00994542"/>
    <w:rsid w:val="00994908"/>
    <w:rsid w:val="009B160B"/>
    <w:rsid w:val="009C237B"/>
    <w:rsid w:val="009C4DD1"/>
    <w:rsid w:val="009D2C92"/>
    <w:rsid w:val="009E5A93"/>
    <w:rsid w:val="009F3154"/>
    <w:rsid w:val="00A1211C"/>
    <w:rsid w:val="00A20113"/>
    <w:rsid w:val="00A20D78"/>
    <w:rsid w:val="00A2215F"/>
    <w:rsid w:val="00A22839"/>
    <w:rsid w:val="00A23E19"/>
    <w:rsid w:val="00A33185"/>
    <w:rsid w:val="00A53B04"/>
    <w:rsid w:val="00A558FB"/>
    <w:rsid w:val="00A661F4"/>
    <w:rsid w:val="00A66326"/>
    <w:rsid w:val="00A7271A"/>
    <w:rsid w:val="00A74D79"/>
    <w:rsid w:val="00A81E19"/>
    <w:rsid w:val="00A85B50"/>
    <w:rsid w:val="00A9723B"/>
    <w:rsid w:val="00AB6200"/>
    <w:rsid w:val="00AB6FA4"/>
    <w:rsid w:val="00AB795F"/>
    <w:rsid w:val="00AC6312"/>
    <w:rsid w:val="00AD1E77"/>
    <w:rsid w:val="00AD6D80"/>
    <w:rsid w:val="00B008A4"/>
    <w:rsid w:val="00B1160D"/>
    <w:rsid w:val="00B139FB"/>
    <w:rsid w:val="00B444E6"/>
    <w:rsid w:val="00B52011"/>
    <w:rsid w:val="00B53EFF"/>
    <w:rsid w:val="00B54AFA"/>
    <w:rsid w:val="00B65CA2"/>
    <w:rsid w:val="00B671A4"/>
    <w:rsid w:val="00B804E8"/>
    <w:rsid w:val="00B91123"/>
    <w:rsid w:val="00BC206C"/>
    <w:rsid w:val="00BC431A"/>
    <w:rsid w:val="00BD1396"/>
    <w:rsid w:val="00BF5AFA"/>
    <w:rsid w:val="00C006B2"/>
    <w:rsid w:val="00C01A35"/>
    <w:rsid w:val="00C03772"/>
    <w:rsid w:val="00C03D13"/>
    <w:rsid w:val="00C04EDA"/>
    <w:rsid w:val="00C119A2"/>
    <w:rsid w:val="00C26401"/>
    <w:rsid w:val="00C47C58"/>
    <w:rsid w:val="00C53F1A"/>
    <w:rsid w:val="00C57267"/>
    <w:rsid w:val="00C616FF"/>
    <w:rsid w:val="00C62B63"/>
    <w:rsid w:val="00C72B5B"/>
    <w:rsid w:val="00C869F3"/>
    <w:rsid w:val="00C9437C"/>
    <w:rsid w:val="00CC18AC"/>
    <w:rsid w:val="00CD7D5D"/>
    <w:rsid w:val="00CF0621"/>
    <w:rsid w:val="00CF0FC4"/>
    <w:rsid w:val="00CF6932"/>
    <w:rsid w:val="00D01FE3"/>
    <w:rsid w:val="00D0381E"/>
    <w:rsid w:val="00D06CA3"/>
    <w:rsid w:val="00D07F46"/>
    <w:rsid w:val="00D1685F"/>
    <w:rsid w:val="00D16979"/>
    <w:rsid w:val="00D170E5"/>
    <w:rsid w:val="00D3136E"/>
    <w:rsid w:val="00D32F99"/>
    <w:rsid w:val="00D35DDD"/>
    <w:rsid w:val="00D37F2F"/>
    <w:rsid w:val="00D415B9"/>
    <w:rsid w:val="00D528E8"/>
    <w:rsid w:val="00D771D0"/>
    <w:rsid w:val="00D818C5"/>
    <w:rsid w:val="00D835CF"/>
    <w:rsid w:val="00D91FBB"/>
    <w:rsid w:val="00DA176F"/>
    <w:rsid w:val="00DA26FB"/>
    <w:rsid w:val="00DA36BE"/>
    <w:rsid w:val="00DB6C3D"/>
    <w:rsid w:val="00DC5ACF"/>
    <w:rsid w:val="00DC698B"/>
    <w:rsid w:val="00DD3573"/>
    <w:rsid w:val="00DD7468"/>
    <w:rsid w:val="00DE25E9"/>
    <w:rsid w:val="00DE321D"/>
    <w:rsid w:val="00DE71D3"/>
    <w:rsid w:val="00DE72CF"/>
    <w:rsid w:val="00DF08A0"/>
    <w:rsid w:val="00DF12D6"/>
    <w:rsid w:val="00DF4103"/>
    <w:rsid w:val="00E13BEF"/>
    <w:rsid w:val="00E205F0"/>
    <w:rsid w:val="00E24EA6"/>
    <w:rsid w:val="00E53613"/>
    <w:rsid w:val="00E70760"/>
    <w:rsid w:val="00E9253C"/>
    <w:rsid w:val="00EA1424"/>
    <w:rsid w:val="00EB3CF0"/>
    <w:rsid w:val="00EB45B5"/>
    <w:rsid w:val="00EB5E57"/>
    <w:rsid w:val="00EB61DB"/>
    <w:rsid w:val="00ED1AD0"/>
    <w:rsid w:val="00ED4760"/>
    <w:rsid w:val="00ED4AFD"/>
    <w:rsid w:val="00ED6776"/>
    <w:rsid w:val="00EE4FBE"/>
    <w:rsid w:val="00EF4106"/>
    <w:rsid w:val="00F038A1"/>
    <w:rsid w:val="00F06E4E"/>
    <w:rsid w:val="00F238E0"/>
    <w:rsid w:val="00F44A2F"/>
    <w:rsid w:val="00F51E01"/>
    <w:rsid w:val="00F5649A"/>
    <w:rsid w:val="00F67DC5"/>
    <w:rsid w:val="00F82342"/>
    <w:rsid w:val="00F877DB"/>
    <w:rsid w:val="00F90F96"/>
    <w:rsid w:val="00F91AE4"/>
    <w:rsid w:val="00F93C8B"/>
    <w:rsid w:val="00F959DD"/>
    <w:rsid w:val="00F960D5"/>
    <w:rsid w:val="00FA5C3D"/>
    <w:rsid w:val="00FB1231"/>
    <w:rsid w:val="00FC1C5C"/>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FA5C3D"/>
    <w:rPr>
      <w:sz w:val="16"/>
      <w:szCs w:val="16"/>
    </w:rPr>
  </w:style>
  <w:style w:type="paragraph" w:styleId="CommentText">
    <w:name w:val="annotation text"/>
    <w:basedOn w:val="Normal"/>
    <w:link w:val="CommentTextChar"/>
    <w:semiHidden/>
    <w:unhideWhenUsed/>
    <w:rsid w:val="00FA5C3D"/>
    <w:rPr>
      <w:sz w:val="20"/>
    </w:rPr>
  </w:style>
  <w:style w:type="character" w:customStyle="1" w:styleId="CommentTextChar">
    <w:name w:val="Comment Text Char"/>
    <w:basedOn w:val="DefaultParagraphFont"/>
    <w:link w:val="CommentText"/>
    <w:semiHidden/>
    <w:rsid w:val="00FA5C3D"/>
    <w:rPr>
      <w:rFonts w:ascii="Arial" w:hAnsi="Arial"/>
      <w:lang w:eastAsia="en-US"/>
    </w:rPr>
  </w:style>
  <w:style w:type="paragraph" w:styleId="CommentSubject">
    <w:name w:val="annotation subject"/>
    <w:basedOn w:val="CommentText"/>
    <w:next w:val="CommentText"/>
    <w:link w:val="CommentSubjectChar"/>
    <w:semiHidden/>
    <w:unhideWhenUsed/>
    <w:rsid w:val="00FA5C3D"/>
    <w:rPr>
      <w:b/>
      <w:bCs/>
    </w:rPr>
  </w:style>
  <w:style w:type="character" w:customStyle="1" w:styleId="CommentSubjectChar">
    <w:name w:val="Comment Subject Char"/>
    <w:basedOn w:val="CommentTextChar"/>
    <w:link w:val="CommentSubject"/>
    <w:semiHidden/>
    <w:rsid w:val="00FA5C3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43258245">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958279">
      <w:bodyDiv w:val="1"/>
      <w:marLeft w:val="0"/>
      <w:marRight w:val="0"/>
      <w:marTop w:val="0"/>
      <w:marBottom w:val="0"/>
      <w:divBdr>
        <w:top w:val="none" w:sz="0" w:space="0" w:color="auto"/>
        <w:left w:val="none" w:sz="0" w:space="0" w:color="auto"/>
        <w:bottom w:val="none" w:sz="0" w:space="0" w:color="auto"/>
        <w:right w:val="none" w:sz="0" w:space="0" w:color="auto"/>
      </w:divBdr>
    </w:div>
    <w:div w:id="1148519902">
      <w:bodyDiv w:val="1"/>
      <w:marLeft w:val="0"/>
      <w:marRight w:val="0"/>
      <w:marTop w:val="0"/>
      <w:marBottom w:val="0"/>
      <w:divBdr>
        <w:top w:val="none" w:sz="0" w:space="0" w:color="auto"/>
        <w:left w:val="none" w:sz="0" w:space="0" w:color="auto"/>
        <w:bottom w:val="none" w:sz="0" w:space="0" w:color="auto"/>
        <w:right w:val="none" w:sz="0" w:space="0" w:color="auto"/>
      </w:divBdr>
    </w:div>
    <w:div w:id="13538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phie.lint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1119</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40</cp:revision>
  <cp:lastPrinted>2014-10-31T16:34:00Z</cp:lastPrinted>
  <dcterms:created xsi:type="dcterms:W3CDTF">2022-11-04T09:05:00Z</dcterms:created>
  <dcterms:modified xsi:type="dcterms:W3CDTF">2022-11-09T14:58:00Z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